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四川秦巴高速公路有限责任公司</w:t>
      </w:r>
    </w:p>
    <w:p>
      <w:pPr>
        <w:jc w:val="center"/>
        <w:rPr>
          <w:rFonts w:hint="eastAsia" w:ascii="仿宋" w:hAnsi="仿宋" w:eastAsia="仿宋" w:cs="仿宋"/>
          <w:b/>
          <w:bCs/>
          <w:sz w:val="44"/>
          <w:szCs w:val="44"/>
        </w:rPr>
      </w:pPr>
      <w:r>
        <w:rPr>
          <w:rFonts w:hint="eastAsia" w:ascii="仿宋" w:hAnsi="仿宋" w:eastAsia="仿宋" w:cs="仿宋"/>
          <w:b/>
          <w:bCs/>
          <w:sz w:val="44"/>
          <w:szCs w:val="44"/>
        </w:rPr>
        <w:t>2024年度防雷接地检测项目</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比选文件</w:t>
      </w: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rPr>
          <w:rFonts w:ascii="仿宋" w:hAnsi="仿宋" w:eastAsia="仿宋" w:cs="仿宋"/>
          <w:b/>
          <w:bCs/>
          <w:sz w:val="44"/>
          <w:szCs w:val="44"/>
        </w:rPr>
      </w:pPr>
    </w:p>
    <w:p>
      <w:pPr>
        <w:jc w:val="center"/>
        <w:outlineLvl w:val="0"/>
        <w:rPr>
          <w:rFonts w:ascii="仿宋" w:hAnsi="仿宋" w:eastAsia="仿宋" w:cs="仿宋"/>
          <w:b/>
          <w:bCs/>
        </w:rPr>
      </w:pPr>
      <w:bookmarkStart w:id="0" w:name="_Toc24153"/>
      <w:r>
        <w:rPr>
          <w:rFonts w:hint="eastAsia" w:ascii="仿宋" w:hAnsi="仿宋" w:eastAsia="仿宋" w:cs="仿宋"/>
          <w:b/>
          <w:bCs/>
        </w:rPr>
        <w:t>四川秦巴高速公路有限责任公司</w:t>
      </w:r>
      <w:bookmarkEnd w:id="0"/>
    </w:p>
    <w:p>
      <w:pPr>
        <w:ind w:left="3520" w:leftChars="1100"/>
        <w:jc w:val="left"/>
        <w:rPr>
          <w:rFonts w:ascii="仿宋" w:hAnsi="仿宋" w:eastAsia="仿宋" w:cs="仿宋"/>
          <w:b/>
          <w:bCs/>
        </w:rPr>
      </w:pPr>
    </w:p>
    <w:p>
      <w:pPr>
        <w:jc w:val="center"/>
        <w:rPr>
          <w:rFonts w:eastAsia="宋体"/>
          <w:b/>
          <w:bCs/>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eastAsia="zh-CN"/>
        </w:rPr>
        <w:t>五</w:t>
      </w:r>
      <w:r>
        <w:rPr>
          <w:rFonts w:hint="eastAsia" w:ascii="仿宋" w:hAnsi="仿宋" w:eastAsia="仿宋" w:cs="仿宋"/>
          <w:b/>
          <w:bCs/>
          <w:sz w:val="32"/>
          <w:szCs w:val="32"/>
        </w:rPr>
        <w:t>月</w:t>
      </w:r>
    </w:p>
    <w:p>
      <w:pPr>
        <w:widowControl/>
        <w:jc w:val="left"/>
        <w:rPr>
          <w:b/>
          <w:bCs/>
        </w:rPr>
        <w:sectPr>
          <w:footnotePr>
            <w:numFmt w:val="decimalEnclosedCircleChinese"/>
            <w:numRestart w:val="eachPage"/>
          </w:footnotePr>
          <w:pgSz w:w="11906" w:h="16838"/>
          <w:pgMar w:top="1134" w:right="1134" w:bottom="1134" w:left="1418" w:header="851" w:footer="992" w:gutter="0"/>
          <w:cols w:space="720" w:num="1"/>
        </w:sectPr>
      </w:pPr>
    </w:p>
    <w:p>
      <w:pPr>
        <w:keepNext/>
        <w:keepLines/>
        <w:spacing w:before="340" w:after="330" w:line="560" w:lineRule="exact"/>
        <w:jc w:val="both"/>
        <w:outlineLvl w:val="0"/>
        <w:rPr>
          <w:rFonts w:hint="eastAsia" w:ascii="仿宋" w:hAnsi="仿宋" w:eastAsia="仿宋" w:cs="仿宋"/>
          <w:b/>
          <w:color w:val="000000"/>
          <w:kern w:val="44"/>
          <w:sz w:val="44"/>
          <w:szCs w:val="44"/>
          <w:lang w:eastAsia="zh-CN"/>
        </w:rPr>
      </w:pPr>
      <w:bookmarkStart w:id="1" w:name="_Toc9736"/>
    </w:p>
    <w:p>
      <w:pPr>
        <w:keepNext/>
        <w:keepLines/>
        <w:spacing w:before="340" w:after="330" w:line="560" w:lineRule="exact"/>
        <w:jc w:val="center"/>
        <w:outlineLvl w:val="0"/>
        <w:rPr>
          <w:rFonts w:hint="eastAsia" w:ascii="仿宋" w:hAnsi="仿宋" w:eastAsia="仿宋" w:cs="仿宋"/>
          <w:b/>
          <w:color w:val="000000"/>
          <w:kern w:val="44"/>
          <w:sz w:val="44"/>
          <w:szCs w:val="44"/>
          <w:lang w:eastAsia="zh-CN"/>
        </w:rPr>
      </w:pPr>
      <w:r>
        <w:rPr>
          <w:rFonts w:hint="eastAsia" w:ascii="仿宋" w:hAnsi="仿宋" w:eastAsia="仿宋" w:cs="仿宋"/>
          <w:b/>
          <w:color w:val="000000"/>
          <w:kern w:val="44"/>
          <w:sz w:val="44"/>
          <w:szCs w:val="44"/>
          <w:lang w:eastAsia="zh-CN"/>
        </w:rPr>
        <w:t>目录</w:t>
      </w:r>
      <w:bookmarkEnd w:id="1"/>
    </w:p>
    <w:sdt>
      <w:sdtPr>
        <w:rPr>
          <w:rFonts w:ascii="宋体" w:hAnsi="宋体" w:eastAsia="宋体" w:cs="Times New Roman"/>
          <w:kern w:val="2"/>
          <w:sz w:val="21"/>
          <w:szCs w:val="32"/>
          <w:lang w:val="en-US" w:eastAsia="zh-CN" w:bidi="ar-SA"/>
        </w:rPr>
        <w:id w:val="147472271"/>
        <w15:color w:val="DBDBDB"/>
        <w:docPartObj>
          <w:docPartGallery w:val="Table of Contents"/>
          <w:docPartUnique/>
        </w:docPartObj>
      </w:sdtPr>
      <w:sdtEndPr>
        <w:rPr>
          <w:rFonts w:hint="eastAsia" w:ascii="仿宋" w:hAnsi="仿宋" w:eastAsia="仿宋" w:cs="仿宋"/>
          <w:b/>
          <w:color w:val="000000"/>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37"/>
            <w:tabs>
              <w:tab w:val="right" w:leader="dot" w:pos="9359"/>
            </w:tabs>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44"/>
              <w:szCs w:val="44"/>
              <w:lang w:val="en-US" w:eastAsia="zh-CN" w:bidi="ar-SA"/>
            </w:rPr>
            <w:fldChar w:fldCharType="begin"/>
          </w:r>
          <w:r>
            <w:rPr>
              <w:rFonts w:hint="eastAsia" w:ascii="仿宋" w:hAnsi="仿宋" w:eastAsia="仿宋" w:cs="仿宋"/>
              <w:b/>
              <w:color w:val="000000"/>
              <w:kern w:val="44"/>
              <w:sz w:val="44"/>
              <w:szCs w:val="44"/>
              <w:lang w:val="en-US" w:eastAsia="zh-CN" w:bidi="ar-SA"/>
            </w:rPr>
            <w:instrText xml:space="preserve">TOC \o "1-1" \h \u </w:instrText>
          </w:r>
          <w:r>
            <w:rPr>
              <w:rFonts w:hint="eastAsia" w:ascii="仿宋" w:hAnsi="仿宋" w:eastAsia="仿宋" w:cs="仿宋"/>
              <w:b/>
              <w:color w:val="000000"/>
              <w:kern w:val="44"/>
              <w:sz w:val="44"/>
              <w:szCs w:val="44"/>
              <w:lang w:val="en-US" w:eastAsia="zh-CN" w:bidi="ar-SA"/>
            </w:rPr>
            <w:fldChar w:fldCharType="separate"/>
          </w:r>
        </w:p>
        <w:p>
          <w:pPr>
            <w:pStyle w:val="37"/>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_Toc1216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第一章 比选公告</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_Toc1216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3</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7"/>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_Toc14003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第二章 比选申请人须知</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_Toc14003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8</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7"/>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_Toc14274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第三章 评标方法</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_Toc14274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12</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7"/>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_Toc27469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第四章 合同条款及格式</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_Toc27469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16</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37"/>
            <w:keepNext w:val="0"/>
            <w:keepLines w:val="0"/>
            <w:pageBreakBefore w:val="0"/>
            <w:widowControl/>
            <w:tabs>
              <w:tab w:val="right" w:leader="dot" w:pos="9359"/>
            </w:tabs>
            <w:kinsoku/>
            <w:wordWrap/>
            <w:overflowPunct/>
            <w:topLinePunct w:val="0"/>
            <w:autoSpaceDE/>
            <w:autoSpaceDN/>
            <w:bidi w:val="0"/>
            <w:adjustRightInd/>
            <w:snapToGrid/>
            <w:spacing w:after="0" w:afterLines="300"/>
            <w:textAlignment w:val="auto"/>
            <w:rPr>
              <w:rFonts w:hint="eastAsia" w:ascii="仿宋" w:hAnsi="仿宋" w:eastAsia="仿宋" w:cs="仿宋"/>
              <w:b/>
              <w:color w:val="000000"/>
              <w:kern w:val="44"/>
              <w:sz w:val="36"/>
              <w:szCs w:val="36"/>
              <w:lang w:val="en-US" w:eastAsia="zh-CN" w:bidi="ar-SA"/>
            </w:rPr>
          </w:pP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HYPERLINK \l _Toc31286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第五章 比选申请文件格式</w:t>
          </w:r>
          <w:r>
            <w:rPr>
              <w:rFonts w:hint="eastAsia" w:ascii="仿宋" w:hAnsi="仿宋" w:eastAsia="仿宋" w:cs="仿宋"/>
              <w:b/>
              <w:color w:val="000000"/>
              <w:kern w:val="44"/>
              <w:sz w:val="36"/>
              <w:szCs w:val="36"/>
              <w:lang w:val="en-US" w:eastAsia="zh-CN" w:bidi="ar-SA"/>
            </w:rPr>
            <w:tab/>
          </w:r>
          <w:r>
            <w:rPr>
              <w:rFonts w:hint="eastAsia" w:ascii="仿宋" w:hAnsi="仿宋" w:eastAsia="仿宋" w:cs="仿宋"/>
              <w:b/>
              <w:color w:val="000000"/>
              <w:kern w:val="44"/>
              <w:sz w:val="36"/>
              <w:szCs w:val="36"/>
              <w:lang w:val="en-US" w:eastAsia="zh-CN" w:bidi="ar-SA"/>
            </w:rPr>
            <w:fldChar w:fldCharType="begin"/>
          </w:r>
          <w:r>
            <w:rPr>
              <w:rFonts w:hint="eastAsia" w:ascii="仿宋" w:hAnsi="仿宋" w:eastAsia="仿宋" w:cs="仿宋"/>
              <w:b/>
              <w:color w:val="000000"/>
              <w:kern w:val="44"/>
              <w:sz w:val="36"/>
              <w:szCs w:val="36"/>
              <w:lang w:val="en-US" w:eastAsia="zh-CN" w:bidi="ar-SA"/>
            </w:rPr>
            <w:instrText xml:space="preserve"> PAGEREF _Toc31286 \h </w:instrText>
          </w:r>
          <w:r>
            <w:rPr>
              <w:rFonts w:hint="eastAsia" w:ascii="仿宋" w:hAnsi="仿宋" w:eastAsia="仿宋" w:cs="仿宋"/>
              <w:b/>
              <w:color w:val="000000"/>
              <w:kern w:val="44"/>
              <w:sz w:val="36"/>
              <w:szCs w:val="36"/>
              <w:lang w:val="en-US" w:eastAsia="zh-CN" w:bidi="ar-SA"/>
            </w:rPr>
            <w:fldChar w:fldCharType="separate"/>
          </w:r>
          <w:r>
            <w:rPr>
              <w:rFonts w:hint="eastAsia" w:ascii="仿宋" w:hAnsi="仿宋" w:eastAsia="仿宋" w:cs="仿宋"/>
              <w:b/>
              <w:color w:val="000000"/>
              <w:kern w:val="44"/>
              <w:sz w:val="36"/>
              <w:szCs w:val="36"/>
              <w:lang w:val="en-US" w:eastAsia="zh-CN" w:bidi="ar-SA"/>
            </w:rPr>
            <w:t>20</w:t>
          </w:r>
          <w:r>
            <w:rPr>
              <w:rFonts w:hint="eastAsia" w:ascii="仿宋" w:hAnsi="仿宋" w:eastAsia="仿宋" w:cs="仿宋"/>
              <w:b/>
              <w:color w:val="000000"/>
              <w:kern w:val="44"/>
              <w:sz w:val="36"/>
              <w:szCs w:val="36"/>
              <w:lang w:val="en-US" w:eastAsia="zh-CN" w:bidi="ar-SA"/>
            </w:rPr>
            <w:fldChar w:fldCharType="end"/>
          </w:r>
          <w:r>
            <w:rPr>
              <w:rFonts w:hint="eastAsia" w:ascii="仿宋" w:hAnsi="仿宋" w:eastAsia="仿宋" w:cs="仿宋"/>
              <w:b/>
              <w:color w:val="000000"/>
              <w:kern w:val="44"/>
              <w:sz w:val="36"/>
              <w:szCs w:val="36"/>
              <w:lang w:val="en-US" w:eastAsia="zh-CN" w:bidi="ar-SA"/>
            </w:rPr>
            <w:fldChar w:fldCharType="end"/>
          </w:r>
        </w:p>
        <w:p>
          <w:pPr>
            <w:pStyle w:val="11"/>
            <w:ind w:left="0" w:leftChars="0" w:firstLine="0" w:firstLineChars="0"/>
            <w:rPr>
              <w:rFonts w:hint="eastAsia" w:ascii="仿宋" w:hAnsi="仿宋" w:eastAsia="仿宋" w:cs="仿宋"/>
              <w:b/>
              <w:color w:val="000000"/>
              <w:kern w:val="44"/>
              <w:sz w:val="44"/>
              <w:szCs w:val="44"/>
              <w:lang w:val="en-US" w:eastAsia="zh-CN" w:bidi="ar-SA"/>
            </w:rPr>
          </w:pPr>
          <w:r>
            <w:rPr>
              <w:rFonts w:hint="eastAsia" w:ascii="仿宋" w:hAnsi="仿宋" w:eastAsia="仿宋" w:cs="仿宋"/>
              <w:b/>
              <w:color w:val="000000"/>
              <w:kern w:val="44"/>
              <w:sz w:val="44"/>
              <w:szCs w:val="44"/>
              <w:lang w:val="en-US" w:eastAsia="zh-CN" w:bidi="ar-SA"/>
            </w:rPr>
            <w:fldChar w:fldCharType="end"/>
          </w:r>
        </w:p>
      </w:sdtContent>
    </w:sdt>
    <w:p>
      <w:pPr>
        <w:pStyle w:val="11"/>
        <w:numPr>
          <w:ilvl w:val="0"/>
          <w:numId w:val="0"/>
        </w:numPr>
        <w:ind w:leftChars="400"/>
        <w:rPr>
          <w:rFonts w:hint="default" w:ascii="仿宋" w:hAnsi="仿宋" w:eastAsia="仿宋" w:cs="仿宋"/>
          <w:b/>
          <w:color w:val="000000"/>
          <w:kern w:val="44"/>
          <w:sz w:val="44"/>
          <w:szCs w:val="44"/>
          <w:lang w:val="en-US" w:eastAsia="zh-CN"/>
        </w:rPr>
      </w:pPr>
    </w:p>
    <w:p>
      <w:pPr>
        <w:pStyle w:val="11"/>
        <w:rPr>
          <w:rFonts w:hint="eastAsia" w:ascii="仿宋" w:hAnsi="仿宋" w:eastAsia="仿宋" w:cs="仿宋"/>
          <w:b/>
          <w:color w:val="000000"/>
          <w:kern w:val="44"/>
          <w:sz w:val="44"/>
          <w:szCs w:val="44"/>
          <w:lang w:eastAsia="zh-CN"/>
        </w:rPr>
        <w:sectPr>
          <w:pgSz w:w="11910" w:h="16840"/>
          <w:pgMar w:top="1134" w:right="1134" w:bottom="1134" w:left="1417" w:header="794" w:footer="794" w:gutter="0"/>
          <w:cols w:space="720" w:num="1"/>
        </w:sect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2" w:name="_Toc1216"/>
      <w:r>
        <w:rPr>
          <w:rFonts w:hint="eastAsia" w:asciiTheme="majorEastAsia" w:hAnsiTheme="majorEastAsia" w:eastAsiaTheme="majorEastAsia" w:cstheme="majorEastAsia"/>
          <w:b/>
          <w:bCs w:val="0"/>
          <w:color w:val="000000"/>
          <w:kern w:val="44"/>
          <w:sz w:val="36"/>
          <w:szCs w:val="36"/>
        </w:rPr>
        <w:t>比选公告</w:t>
      </w:r>
      <w:bookmarkEnd w:id="2"/>
    </w:p>
    <w:p>
      <w:pPr>
        <w:jc w:val="center"/>
        <w:rPr>
          <w:rFonts w:ascii="仿宋" w:hAnsi="仿宋" w:eastAsia="仿宋" w:cs="仿宋"/>
          <w:b/>
          <w:bCs/>
          <w:sz w:val="44"/>
          <w:szCs w:val="44"/>
        </w:rPr>
      </w:pPr>
      <w:r>
        <w:rPr>
          <w:rFonts w:hint="eastAsia" w:ascii="仿宋" w:hAnsi="仿宋" w:eastAsia="仿宋" w:cs="仿宋"/>
          <w:b/>
          <w:bCs/>
          <w:sz w:val="44"/>
          <w:szCs w:val="44"/>
        </w:rPr>
        <w:t>四川秦巴高速公路有限责任公司</w:t>
      </w:r>
    </w:p>
    <w:p>
      <w:pPr>
        <w:jc w:val="center"/>
        <w:rPr>
          <w:rFonts w:hint="eastAsia" w:ascii="仿宋" w:hAnsi="仿宋" w:eastAsia="仿宋" w:cs="仿宋"/>
          <w:b/>
          <w:bCs/>
          <w:sz w:val="44"/>
          <w:szCs w:val="44"/>
        </w:rPr>
      </w:pPr>
      <w:r>
        <w:rPr>
          <w:rFonts w:hint="eastAsia" w:ascii="仿宋" w:hAnsi="仿宋" w:eastAsia="仿宋" w:cs="仿宋"/>
          <w:b/>
          <w:bCs/>
          <w:sz w:val="44"/>
          <w:szCs w:val="44"/>
        </w:rPr>
        <w:t>2024年度防雷接地检测项目</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100" w:after="120" w:line="360" w:lineRule="auto"/>
        <w:jc w:val="center"/>
        <w:textAlignment w:val="auto"/>
        <w:rPr>
          <w:rFonts w:hint="eastAsia" w:asciiTheme="majorEastAsia" w:hAnsiTheme="majorEastAsia" w:eastAsiaTheme="majorEastAsia" w:cstheme="majorEastAsia"/>
          <w:b/>
          <w:bCs w:val="0"/>
          <w:spacing w:val="-5"/>
          <w:sz w:val="36"/>
          <w:szCs w:val="36"/>
          <w:lang w:eastAsia="zh-CN"/>
        </w:rPr>
      </w:pPr>
      <w:r>
        <w:rPr>
          <w:rFonts w:hint="eastAsia" w:asciiTheme="majorEastAsia" w:hAnsiTheme="majorEastAsia" w:eastAsiaTheme="majorEastAsia" w:cstheme="majorEastAsia"/>
          <w:b/>
          <w:bCs w:val="0"/>
          <w:spacing w:val="-5"/>
          <w:sz w:val="36"/>
          <w:szCs w:val="36"/>
          <w:lang w:eastAsia="zh-CN"/>
        </w:rPr>
        <w:t>比</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选</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公</w:t>
      </w:r>
      <w:r>
        <w:rPr>
          <w:rFonts w:hint="eastAsia" w:asciiTheme="majorEastAsia" w:hAnsiTheme="majorEastAsia" w:eastAsiaTheme="majorEastAsia" w:cstheme="majorEastAsia"/>
          <w:b/>
          <w:bCs w:val="0"/>
          <w:spacing w:val="-5"/>
          <w:sz w:val="36"/>
          <w:szCs w:val="36"/>
          <w:lang w:val="en-US" w:eastAsia="zh-CN"/>
        </w:rPr>
        <w:t xml:space="preserve"> </w:t>
      </w:r>
      <w:r>
        <w:rPr>
          <w:rFonts w:hint="eastAsia" w:asciiTheme="majorEastAsia" w:hAnsiTheme="majorEastAsia" w:eastAsiaTheme="majorEastAsia" w:cstheme="majorEastAsia"/>
          <w:b/>
          <w:bCs w:val="0"/>
          <w:spacing w:val="-5"/>
          <w:sz w:val="36"/>
          <w:szCs w:val="36"/>
          <w:lang w:eastAsia="zh-CN"/>
        </w:rPr>
        <w:t>告</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rPr>
        <w:t>一、条件</w:t>
      </w:r>
    </w:p>
    <w:p>
      <w:pPr>
        <w:tabs>
          <w:tab w:val="center" w:pos="4153"/>
        </w:tabs>
        <w:spacing w:line="560" w:lineRule="atLeast"/>
        <w:ind w:firstLine="560" w:firstLineChars="200"/>
        <w:rPr>
          <w:rFonts w:hint="eastAsia" w:eastAsiaTheme="minorEastAsia"/>
          <w:spacing w:val="-5"/>
          <w:sz w:val="28"/>
          <w:szCs w:val="28"/>
        </w:rPr>
      </w:pPr>
      <w:r>
        <w:rPr>
          <w:rFonts w:hint="eastAsia" w:ascii="仿宋" w:hAnsi="仿宋" w:eastAsia="仿宋" w:cs="仿宋"/>
          <w:sz w:val="28"/>
          <w:szCs w:val="28"/>
          <w:u w:val="single"/>
        </w:rPr>
        <w:t>秦巴公司</w:t>
      </w:r>
      <w:r>
        <w:rPr>
          <w:rFonts w:hint="eastAsia" w:eastAsia="仿宋"/>
          <w:szCs w:val="21"/>
          <w:u w:val="single"/>
          <w:lang w:eastAsia="zh-CN"/>
        </w:rPr>
        <w:t>2024</w:t>
      </w:r>
      <w:r>
        <w:rPr>
          <w:rFonts w:hint="eastAsia" w:ascii="仿宋" w:hAnsi="仿宋" w:eastAsia="仿宋" w:cs="仿宋"/>
          <w:sz w:val="28"/>
          <w:szCs w:val="28"/>
          <w:u w:val="single"/>
        </w:rPr>
        <w:t>年度防雷接地检测项目（</w:t>
      </w:r>
      <w:r>
        <w:rPr>
          <w:rFonts w:hint="eastAsia" w:ascii="仿宋" w:hAnsi="仿宋" w:eastAsia="仿宋" w:cs="仿宋"/>
          <w:b/>
          <w:sz w:val="28"/>
          <w:szCs w:val="28"/>
        </w:rPr>
        <w:t>以下简称“本项目”</w:t>
      </w:r>
      <w:r>
        <w:rPr>
          <w:rFonts w:hint="eastAsia" w:ascii="仿宋" w:hAnsi="仿宋" w:eastAsia="仿宋" w:cs="仿宋"/>
          <w:sz w:val="28"/>
          <w:szCs w:val="28"/>
        </w:rPr>
        <w:t>），</w:t>
      </w:r>
      <w:r>
        <w:rPr>
          <w:rFonts w:hint="eastAsia" w:ascii="仿宋" w:hAnsi="仿宋" w:eastAsia="仿宋" w:cs="仿宋"/>
          <w:kern w:val="0"/>
          <w:sz w:val="28"/>
          <w:szCs w:val="28"/>
        </w:rPr>
        <w:t>项目发包人为四川</w:t>
      </w:r>
      <w:r>
        <w:rPr>
          <w:rFonts w:hint="eastAsia" w:ascii="仿宋" w:hAnsi="仿宋" w:eastAsia="仿宋" w:cs="仿宋"/>
          <w:sz w:val="28"/>
          <w:szCs w:val="28"/>
        </w:rPr>
        <w:t>秦巴</w:t>
      </w:r>
      <w:r>
        <w:rPr>
          <w:rFonts w:hint="eastAsia" w:ascii="仿宋" w:hAnsi="仿宋" w:eastAsia="仿宋" w:cs="仿宋"/>
          <w:kern w:val="0"/>
          <w:sz w:val="28"/>
          <w:szCs w:val="28"/>
        </w:rPr>
        <w:t>高速公路有限责任公司，现已具备</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条件，由秦巴高速公路有限责任公司作为招标人，对本项目进行</w:t>
      </w:r>
      <w:r>
        <w:rPr>
          <w:rFonts w:hint="eastAsia" w:ascii="仿宋" w:hAnsi="仿宋" w:eastAsia="仿宋" w:cs="仿宋"/>
          <w:kern w:val="0"/>
          <w:sz w:val="28"/>
          <w:szCs w:val="28"/>
          <w:lang w:eastAsia="zh-CN"/>
        </w:rPr>
        <w:t>比选</w:t>
      </w:r>
      <w:r>
        <w:rPr>
          <w:rFonts w:hint="eastAsia" w:ascii="仿宋" w:hAnsi="仿宋" w:eastAsia="仿宋" w:cs="仿宋"/>
          <w:kern w:val="0"/>
          <w:sz w:val="28"/>
          <w:szCs w:val="28"/>
        </w:rPr>
        <w:t>招标。</w:t>
      </w:r>
    </w:p>
    <w:p>
      <w:pPr>
        <w:spacing w:before="120" w:beforeLines="50" w:after="120" w:afterLines="50" w:line="560" w:lineRule="exact"/>
        <w:outlineLvl w:val="1"/>
        <w:rPr>
          <w:rFonts w:ascii="仿宋_GB2312" w:hAnsi="宋体" w:eastAsia="仿宋_GB2312" w:cs="Courier New"/>
          <w:b/>
          <w:kern w:val="0"/>
        </w:rPr>
      </w:pPr>
      <w:r>
        <w:rPr>
          <w:rFonts w:hint="eastAsia" w:ascii="仿宋_GB2312" w:hAnsi="宋体" w:eastAsia="仿宋_GB2312" w:cs="Courier New"/>
          <w:b/>
          <w:kern w:val="0"/>
        </w:rPr>
        <w:t>二、项目概况</w:t>
      </w:r>
    </w:p>
    <w:p>
      <w:pPr>
        <w:tabs>
          <w:tab w:val="center" w:pos="4153"/>
        </w:tabs>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（一）项目名称：四川秦巴</w:t>
      </w:r>
      <w:r>
        <w:rPr>
          <w:rFonts w:hint="eastAsia" w:ascii="仿宋" w:hAnsi="仿宋" w:eastAsia="仿宋" w:cs="仿宋"/>
          <w:kern w:val="0"/>
          <w:sz w:val="28"/>
          <w:szCs w:val="28"/>
        </w:rPr>
        <w:t>高速公路有限责任</w:t>
      </w:r>
      <w:r>
        <w:rPr>
          <w:rFonts w:hint="eastAsia" w:ascii="仿宋" w:hAnsi="仿宋" w:eastAsia="仿宋" w:cs="仿宋"/>
          <w:sz w:val="28"/>
          <w:szCs w:val="28"/>
        </w:rPr>
        <w:t>公司</w:t>
      </w:r>
      <w:r>
        <w:rPr>
          <w:rFonts w:hint="eastAsia" w:ascii="仿宋" w:hAnsi="仿宋" w:eastAsia="仿宋" w:cs="仿宋"/>
          <w:kern w:val="0"/>
          <w:sz w:val="28"/>
          <w:szCs w:val="28"/>
          <w:lang w:eastAsia="zh-CN"/>
        </w:rPr>
        <w:t>2024</w:t>
      </w:r>
      <w:r>
        <w:rPr>
          <w:rFonts w:hint="eastAsia" w:ascii="仿宋" w:hAnsi="仿宋" w:eastAsia="仿宋" w:cs="仿宋"/>
          <w:kern w:val="0"/>
          <w:sz w:val="28"/>
          <w:szCs w:val="28"/>
        </w:rPr>
        <w:t>年度防雷接地检测项目</w:t>
      </w:r>
    </w:p>
    <w:p>
      <w:pPr>
        <w:tabs>
          <w:tab w:val="center" w:pos="4153"/>
        </w:tabs>
        <w:spacing w:line="560" w:lineRule="atLeast"/>
        <w:ind w:firstLine="560" w:firstLineChars="200"/>
        <w:rPr>
          <w:rFonts w:ascii="仿宋" w:hAnsi="仿宋" w:eastAsia="仿宋" w:cs="仿宋"/>
          <w:sz w:val="28"/>
          <w:szCs w:val="28"/>
        </w:rPr>
      </w:pPr>
      <w:r>
        <w:rPr>
          <w:rFonts w:hint="eastAsia" w:ascii="仿宋" w:hAnsi="仿宋" w:eastAsia="仿宋" w:cs="仿宋"/>
          <w:sz w:val="28"/>
          <w:szCs w:val="28"/>
        </w:rPr>
        <w:t>（二）项目背景及描述：本次招标为对秦巴高速</w:t>
      </w:r>
      <w:r>
        <w:rPr>
          <w:rFonts w:hint="eastAsia" w:ascii="仿宋" w:hAnsi="仿宋" w:eastAsia="仿宋" w:cs="仿宋"/>
          <w:sz w:val="28"/>
          <w:szCs w:val="28"/>
          <w:lang w:eastAsia="zh-CN"/>
        </w:rPr>
        <w:t>巴陕段，广巴段，巴南段</w:t>
      </w:r>
      <w:r>
        <w:rPr>
          <w:rFonts w:hint="eastAsia" w:ascii="仿宋" w:hAnsi="仿宋" w:eastAsia="仿宋" w:cs="仿宋"/>
          <w:sz w:val="28"/>
          <w:szCs w:val="28"/>
        </w:rPr>
        <w:t>收费站点、管理处、服务区、隧道及ETC门架等进行防雷接地检测，预计点位数量</w:t>
      </w:r>
      <w:r>
        <w:rPr>
          <w:rFonts w:hint="eastAsia" w:ascii="仿宋_GB2312" w:hAnsi="宋体" w:eastAsia="仿宋_GB2312"/>
          <w:sz w:val="28"/>
          <w:szCs w:val="28"/>
        </w:rPr>
        <w:t>4620</w:t>
      </w:r>
      <w:r>
        <w:rPr>
          <w:rFonts w:hint="eastAsia" w:ascii="仿宋" w:hAnsi="仿宋" w:eastAsia="仿宋" w:cs="仿宋"/>
          <w:sz w:val="28"/>
          <w:szCs w:val="28"/>
        </w:rPr>
        <w:t>个，按照《建筑物防雷设计规范》（GB50057-2010）、《建筑物电子信息系统防雷技术规范》（GB50343-2012）、《建筑物防雷装置检测技术规范》（GB/T21431-2015）、《高速公路设施防雷设计规范》（QX/T190-2013）、《雷电防护》（GB/T21714-2008/IEC62305-2006）、其他相关防雷技术标准规范进行。拟委托具有相关资质的检测单位进行检测。</w:t>
      </w:r>
    </w:p>
    <w:p>
      <w:pPr>
        <w:tabs>
          <w:tab w:val="center" w:pos="4153"/>
        </w:tabs>
        <w:spacing w:line="56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（三）服务内容</w:t>
      </w:r>
    </w:p>
    <w:p>
      <w:pPr>
        <w:tabs>
          <w:tab w:val="center" w:pos="4153"/>
        </w:tabs>
        <w:spacing w:line="5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秦巴高速</w:t>
      </w:r>
      <w:r>
        <w:rPr>
          <w:rFonts w:hint="eastAsia" w:ascii="仿宋" w:hAnsi="仿宋" w:eastAsia="仿宋" w:cs="仿宋"/>
          <w:sz w:val="28"/>
          <w:szCs w:val="28"/>
          <w:lang w:eastAsia="zh-CN"/>
        </w:rPr>
        <w:t>巴陕段，广巴段，巴南段</w:t>
      </w:r>
      <w:r>
        <w:rPr>
          <w:rFonts w:hint="eastAsia" w:ascii="仿宋" w:hAnsi="仿宋" w:eastAsia="仿宋" w:cs="仿宋"/>
          <w:sz w:val="28"/>
          <w:szCs w:val="28"/>
        </w:rPr>
        <w:t>收费站点、管理处、服务区、隧道</w:t>
      </w:r>
      <w:r>
        <w:rPr>
          <w:rFonts w:hint="eastAsia" w:ascii="仿宋" w:hAnsi="仿宋" w:eastAsia="仿宋" w:cs="仿宋"/>
          <w:sz w:val="28"/>
          <w:szCs w:val="28"/>
          <w:lang w:eastAsia="zh-CN"/>
        </w:rPr>
        <w:t>、变电站</w:t>
      </w:r>
      <w:r>
        <w:rPr>
          <w:rFonts w:hint="eastAsia" w:ascii="仿宋" w:hAnsi="仿宋" w:eastAsia="仿宋" w:cs="仿宋"/>
          <w:sz w:val="28"/>
          <w:szCs w:val="28"/>
        </w:rPr>
        <w:t>及收费门架等防雷接地检测，并出具防雷检测技术报告。</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rPr>
        <w:t>三、比选报价</w:t>
      </w:r>
    </w:p>
    <w:p>
      <w:pPr>
        <w:tabs>
          <w:tab w:val="center" w:pos="4153"/>
        </w:tabs>
        <w:spacing w:line="560" w:lineRule="atLeast"/>
        <w:ind w:left="19" w:firstLine="641" w:firstLineChars="229"/>
        <w:rPr>
          <w:rFonts w:eastAsiaTheme="minorEastAsia"/>
          <w:spacing w:val="-5"/>
          <w:sz w:val="28"/>
          <w:szCs w:val="28"/>
        </w:rPr>
      </w:pPr>
      <w:r>
        <w:rPr>
          <w:rFonts w:hint="eastAsia" w:ascii="仿宋_GB2312" w:hAnsi="宋体" w:eastAsia="仿宋_GB2312"/>
          <w:sz w:val="28"/>
          <w:szCs w:val="28"/>
        </w:rPr>
        <w:t>本次预计检测点位数4620个（广巴段1482个点位、巴南段1118个点位、巴陕段2020个点位），按照公司</w:t>
      </w:r>
      <w:r>
        <w:rPr>
          <w:rFonts w:hint="eastAsia" w:ascii="仿宋_GB2312" w:hAnsi="宋体" w:eastAsia="仿宋_GB2312"/>
          <w:sz w:val="28"/>
          <w:szCs w:val="28"/>
          <w:lang w:eastAsia="zh-CN"/>
        </w:rPr>
        <w:t>2024</w:t>
      </w:r>
      <w:r>
        <w:rPr>
          <w:rFonts w:hint="eastAsia" w:ascii="仿宋_GB2312" w:hAnsi="宋体" w:eastAsia="仿宋_GB2312"/>
          <w:sz w:val="28"/>
          <w:szCs w:val="28"/>
        </w:rPr>
        <w:t>年防雷检测招标单价75元/点计算，三路段每年共计34.65万元/年，作为广巴段、巴南段、巴陕段本次项目</w:t>
      </w:r>
      <w:r>
        <w:rPr>
          <w:rFonts w:hint="eastAsia" w:ascii="仿宋_GB2312" w:hAnsi="宋体" w:eastAsia="仿宋_GB2312"/>
          <w:sz w:val="28"/>
          <w:szCs w:val="28"/>
          <w:lang w:eastAsia="zh-CN"/>
        </w:rPr>
        <w:t>比选</w:t>
      </w:r>
      <w:r>
        <w:rPr>
          <w:rFonts w:hint="eastAsia" w:ascii="仿宋_GB2312" w:hAnsi="宋体" w:eastAsia="仿宋_GB2312"/>
          <w:sz w:val="28"/>
          <w:szCs w:val="28"/>
        </w:rPr>
        <w:t>的最高限价。以资格审查合格的最低报价人为秦巴公司</w:t>
      </w:r>
      <w:r>
        <w:rPr>
          <w:rFonts w:hint="eastAsia" w:ascii="仿宋_GB2312" w:hAnsi="宋体" w:eastAsia="仿宋_GB2312"/>
          <w:sz w:val="28"/>
          <w:szCs w:val="28"/>
          <w:lang w:eastAsia="zh-CN"/>
        </w:rPr>
        <w:t>2024</w:t>
      </w:r>
      <w:r>
        <w:rPr>
          <w:rFonts w:hint="eastAsia" w:ascii="仿宋_GB2312" w:hAnsi="宋体" w:eastAsia="仿宋_GB2312"/>
          <w:sz w:val="28"/>
          <w:szCs w:val="28"/>
        </w:rPr>
        <w:t>年度防雷接地检测项目单位，若有相同的最低报价人，以资格审查业绩多的报价人优先，由评标小组推荐1-3名中标候选人。</w:t>
      </w:r>
    </w:p>
    <w:p>
      <w:pPr>
        <w:spacing w:before="120" w:beforeLines="50" w:after="120" w:afterLines="50" w:line="560" w:lineRule="exact"/>
        <w:outlineLvl w:val="1"/>
        <w:rPr>
          <w:rFonts w:hint="eastAsia" w:ascii="仿宋_GB2312" w:hAnsi="宋体" w:eastAsia="仿宋_GB2312" w:cs="Courier New"/>
          <w:b/>
          <w:kern w:val="0"/>
        </w:rPr>
      </w:pPr>
      <w:r>
        <w:rPr>
          <w:rFonts w:hint="eastAsia" w:ascii="仿宋_GB2312" w:hAnsi="宋体" w:eastAsia="仿宋_GB2312" w:cs="Courier New"/>
          <w:b/>
          <w:kern w:val="0"/>
          <w:lang w:val="en-US" w:eastAsia="zh-CN"/>
        </w:rPr>
        <w:t>四</w:t>
      </w:r>
      <w:r>
        <w:rPr>
          <w:rFonts w:hint="eastAsia" w:ascii="仿宋_GB2312" w:hAnsi="宋体" w:eastAsia="仿宋_GB2312" w:cs="Courier New"/>
          <w:b/>
          <w:kern w:val="0"/>
        </w:rPr>
        <w:t>、</w:t>
      </w:r>
      <w:r>
        <w:rPr>
          <w:rFonts w:hint="eastAsia" w:ascii="仿宋_GB2312" w:hAnsi="宋体" w:eastAsia="仿宋_GB2312" w:cs="Courier New"/>
          <w:b/>
          <w:kern w:val="0"/>
          <w:lang w:eastAsia="zh-CN"/>
        </w:rPr>
        <w:t>比选申请人</w:t>
      </w:r>
      <w:r>
        <w:rPr>
          <w:rFonts w:hint="eastAsia" w:ascii="仿宋_GB2312" w:hAnsi="宋体" w:eastAsia="仿宋_GB2312" w:cs="Courier New"/>
          <w:b/>
          <w:kern w:val="0"/>
        </w:rPr>
        <w:t>资格及相关要求</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（一）本次</w:t>
      </w:r>
      <w:r>
        <w:rPr>
          <w:rFonts w:hint="eastAsia" w:ascii="仿宋" w:hAnsi="仿宋" w:eastAsia="仿宋"/>
          <w:sz w:val="28"/>
          <w:szCs w:val="28"/>
          <w:lang w:eastAsia="zh-CN"/>
        </w:rPr>
        <w:t>比选</w:t>
      </w:r>
      <w:r>
        <w:rPr>
          <w:rFonts w:hint="eastAsia" w:ascii="仿宋" w:hAnsi="仿宋" w:eastAsia="仿宋"/>
          <w:sz w:val="28"/>
          <w:szCs w:val="28"/>
        </w:rPr>
        <w:t>要求投标人须具有：</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1.具有独立法人资格，在中华人民共和国境内依法登记注册并有效存续的，具有独立法人资格的企业或事业单位。</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2.报价人须具备有效的《企业营业执照》（或《事业单位法人证书》）营业执照经营范围必须包含避雷装置的年度安全检测等相关资质。</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3.提供近3年（20</w:t>
      </w:r>
      <w:r>
        <w:rPr>
          <w:rFonts w:hint="eastAsia" w:ascii="仿宋" w:hAnsi="仿宋" w:eastAsia="仿宋"/>
          <w:sz w:val="28"/>
          <w:szCs w:val="28"/>
          <w:lang w:val="en-US" w:eastAsia="zh-CN"/>
        </w:rPr>
        <w:t>21</w:t>
      </w:r>
      <w:r>
        <w:rPr>
          <w:rFonts w:hint="eastAsia" w:ascii="仿宋" w:hAnsi="仿宋" w:eastAsia="仿宋"/>
          <w:sz w:val="28"/>
          <w:szCs w:val="28"/>
        </w:rPr>
        <w:t>年1月1日起）公路行业或类似检测服务合同业绩至少一个（复印件加盖公章）；</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4.在“信用中国”网站（www.creditchina.gov.cn）中未被列入失信被执行人名单。</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5.询比申请人（单位）或法定代表人、项目负责人、技术负责人近三年（20</w:t>
      </w:r>
      <w:r>
        <w:rPr>
          <w:rFonts w:hint="eastAsia" w:ascii="仿宋" w:hAnsi="仿宋" w:eastAsia="仿宋"/>
          <w:sz w:val="28"/>
          <w:szCs w:val="28"/>
          <w:lang w:val="en-US" w:eastAsia="zh-CN"/>
        </w:rPr>
        <w:t>21</w:t>
      </w:r>
      <w:r>
        <w:rPr>
          <w:rFonts w:hint="eastAsia" w:ascii="仿宋" w:hAnsi="仿宋" w:eastAsia="仿宋"/>
          <w:sz w:val="28"/>
          <w:szCs w:val="28"/>
        </w:rPr>
        <w:t>年1月1日起至今）有行贿犯罪档案记录的，不得参加询比申请。</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（二）本次防雷接地检测项目不允许分包。</w:t>
      </w:r>
    </w:p>
    <w:p>
      <w:pPr>
        <w:adjustRightInd w:val="0"/>
        <w:spacing w:line="560" w:lineRule="atLeast"/>
        <w:ind w:firstLine="560" w:firstLineChars="200"/>
        <w:rPr>
          <w:rFonts w:ascii="仿宋" w:hAnsi="仿宋" w:eastAsia="仿宋"/>
          <w:sz w:val="28"/>
          <w:szCs w:val="28"/>
        </w:rPr>
      </w:pPr>
      <w:r>
        <w:rPr>
          <w:rFonts w:hint="eastAsia" w:ascii="仿宋" w:hAnsi="仿宋" w:eastAsia="仿宋"/>
          <w:sz w:val="28"/>
          <w:szCs w:val="28"/>
        </w:rPr>
        <w:t>（三）投标人单位负责人为同一人或者存在控股、管理关系的不同单位，不得参加同一标段投标。否则，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11"/>
        <w:spacing w:line="560" w:lineRule="atLeast"/>
        <w:ind w:left="0" w:leftChars="0" w:firstLine="638" w:firstLineChars="228"/>
        <w:rPr>
          <w:rFonts w:ascii="仿宋" w:hAnsi="仿宋" w:eastAsia="仿宋" w:cs="仿宋"/>
          <w:color w:val="000000"/>
          <w:szCs w:val="28"/>
        </w:rPr>
      </w:pPr>
      <w:r>
        <w:rPr>
          <w:rFonts w:hint="eastAsia" w:ascii="仿宋" w:hAnsi="仿宋" w:eastAsia="仿宋"/>
          <w:sz w:val="28"/>
          <w:szCs w:val="28"/>
        </w:rPr>
        <w:t>（四）</w:t>
      </w:r>
      <w:r>
        <w:rPr>
          <w:rFonts w:hint="eastAsia" w:ascii="仿宋" w:hAnsi="仿宋" w:eastAsia="仿宋" w:cs="Times New Roman"/>
          <w:kern w:val="2"/>
          <w:sz w:val="28"/>
          <w:szCs w:val="28"/>
          <w:lang w:val="en-US" w:eastAsia="zh-CN" w:bidi="ar-SA"/>
        </w:rPr>
        <w:t>报价人对招标人商业信息及技术资料保密。</w:t>
      </w:r>
    </w:p>
    <w:p>
      <w:pPr>
        <w:pStyle w:val="11"/>
        <w:spacing w:line="560" w:lineRule="atLeast"/>
        <w:ind w:left="0" w:leftChars="0" w:firstLine="638" w:firstLineChars="228"/>
        <w:rPr>
          <w:rFonts w:ascii="仿宋" w:hAnsi="仿宋" w:eastAsia="仿宋" w:cs="仿宋"/>
          <w:color w:val="000000"/>
          <w:szCs w:val="28"/>
        </w:rPr>
      </w:pPr>
      <w:r>
        <w:rPr>
          <w:rFonts w:hint="eastAsia" w:ascii="仿宋" w:hAnsi="仿宋" w:eastAsia="仿宋" w:cs="仿宋"/>
          <w:color w:val="000000"/>
          <w:sz w:val="28"/>
          <w:szCs w:val="28"/>
        </w:rPr>
        <w:t>（五）报价人在现场开展防雷服务时，必须遵守招标人的相关安全规章制度，不得违规操作。</w:t>
      </w:r>
    </w:p>
    <w:p>
      <w:pPr>
        <w:pStyle w:val="11"/>
        <w:spacing w:line="560" w:lineRule="atLeast"/>
        <w:ind w:left="0" w:leftChars="0"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rPr>
        <w:t>（六）检测工作结束后，乙方向甲方提供具备法定效力及符合相关主管部门要求的《防雷装置检测报告》，并应根据相关技术规范要求，针对检测结果提出整改意见和建议。</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五、招标文件的获取及开标相关事宜</w:t>
      </w:r>
    </w:p>
    <w:p>
      <w:pPr>
        <w:keepNext w:val="0"/>
        <w:keepLines w:val="0"/>
        <w:pageBreakBefore w:val="0"/>
        <w:widowControl w:val="0"/>
        <w:kinsoku/>
        <w:wordWrap/>
        <w:overflowPunct/>
        <w:topLinePunct w:val="0"/>
        <w:autoSpaceDE/>
        <w:autoSpaceDN/>
        <w:bidi w:val="0"/>
        <w:adjustRightInd w:val="0"/>
        <w:snapToGrid/>
        <w:spacing w:line="560" w:lineRule="atLeast"/>
        <w:ind w:firstLine="560" w:firstLineChars="200"/>
        <w:textAlignment w:val="auto"/>
        <w:rPr>
          <w:rFonts w:hint="eastAsia" w:ascii="仿宋_GB2312" w:hAnsi="宋体" w:eastAsia="仿宋"/>
          <w:color w:val="auto"/>
          <w:sz w:val="28"/>
          <w:szCs w:val="28"/>
          <w:lang w:eastAsia="zh-CN"/>
        </w:rPr>
      </w:pPr>
      <w:r>
        <w:rPr>
          <w:rFonts w:hint="eastAsia" w:ascii="仿宋_GB2312" w:hAnsi="宋体" w:eastAsia="仿宋_GB2312"/>
          <w:color w:val="auto"/>
          <w:sz w:val="28"/>
          <w:szCs w:val="28"/>
        </w:rPr>
        <w:t>凡具备上述条件并有意参加本项目的投标人，</w:t>
      </w:r>
      <w:r>
        <w:rPr>
          <w:rFonts w:hint="eastAsia" w:ascii="仿宋" w:hAnsi="仿宋" w:eastAsia="仿宋"/>
          <w:color w:val="auto"/>
          <w:sz w:val="28"/>
          <w:szCs w:val="28"/>
        </w:rPr>
        <w:t>请自行安排现场勘查工作，并于</w:t>
      </w:r>
      <w:bookmarkStart w:id="7" w:name="_GoBack"/>
      <w:r>
        <w:rPr>
          <w:rFonts w:hint="eastAsia" w:ascii="仿宋" w:hAnsi="仿宋" w:eastAsia="仿宋"/>
          <w:color w:val="auto"/>
          <w:sz w:val="28"/>
          <w:szCs w:val="28"/>
        </w:rPr>
        <w:t>202</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年</w:t>
      </w:r>
      <w:bookmarkEnd w:id="7"/>
      <w:r>
        <w:rPr>
          <w:rFonts w:hint="eastAsia" w:ascii="仿宋" w:hAnsi="仿宋" w:eastAsia="仿宋"/>
          <w:color w:val="auto"/>
          <w:sz w:val="28"/>
          <w:szCs w:val="28"/>
          <w:lang w:val="en-US" w:eastAsia="zh-CN"/>
        </w:rPr>
        <w:t>6</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日前，在四川秦巴高速公路有限责任公司网站</w:t>
      </w:r>
      <w:r>
        <w:rPr>
          <w:color w:val="auto"/>
        </w:rPr>
        <w:fldChar w:fldCharType="begin"/>
      </w:r>
      <w:r>
        <w:rPr>
          <w:color w:val="auto"/>
        </w:rPr>
        <w:instrText xml:space="preserve"> HYPERLINK "http://www.cngs3w.cn/" </w:instrText>
      </w:r>
      <w:r>
        <w:rPr>
          <w:color w:val="auto"/>
        </w:rPr>
        <w:fldChar w:fldCharType="separate"/>
      </w:r>
      <w:r>
        <w:rPr>
          <w:rStyle w:val="15"/>
          <w:rFonts w:hint="eastAsia" w:ascii="仿宋" w:hAnsi="仿宋" w:eastAsia="仿宋"/>
          <w:color w:val="auto"/>
          <w:sz w:val="28"/>
          <w:szCs w:val="28"/>
        </w:rPr>
        <w:t>（https://qbgs.scgs.com.cn/index.html</w:t>
      </w:r>
      <w:r>
        <w:rPr>
          <w:rStyle w:val="15"/>
          <w:rFonts w:hint="eastAsia" w:ascii="仿宋" w:hAnsi="仿宋" w:eastAsia="仿宋"/>
          <w:color w:val="auto"/>
          <w:sz w:val="28"/>
          <w:szCs w:val="28"/>
        </w:rPr>
        <w:fldChar w:fldCharType="end"/>
      </w:r>
      <w:r>
        <w:rPr>
          <w:rFonts w:hint="eastAsia" w:ascii="仿宋" w:hAnsi="仿宋" w:eastAsia="仿宋"/>
          <w:color w:val="auto"/>
          <w:sz w:val="28"/>
          <w:szCs w:val="28"/>
        </w:rPr>
        <w:t>）上自行下载获取</w:t>
      </w:r>
      <w:r>
        <w:rPr>
          <w:rFonts w:hint="eastAsia" w:ascii="仿宋" w:hAnsi="仿宋" w:eastAsia="仿宋"/>
          <w:color w:val="auto"/>
          <w:sz w:val="28"/>
          <w:szCs w:val="28"/>
          <w:lang w:eastAsia="zh-CN"/>
        </w:rPr>
        <w:t>比选</w:t>
      </w:r>
      <w:r>
        <w:rPr>
          <w:rFonts w:hint="eastAsia" w:ascii="仿宋" w:hAnsi="仿宋" w:eastAsia="仿宋"/>
          <w:color w:val="auto"/>
          <w:sz w:val="28"/>
          <w:szCs w:val="28"/>
        </w:rPr>
        <w:t>文件</w:t>
      </w:r>
      <w:r>
        <w:rPr>
          <w:rFonts w:hint="eastAsia" w:ascii="仿宋" w:hAnsi="仿宋" w:eastAsia="仿宋"/>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atLeast"/>
        <w:ind w:left="0"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投标人撤回已提交的投标文件，应当在投标截止时间前书面通知招标人。</w:t>
      </w:r>
    </w:p>
    <w:p>
      <w:pPr>
        <w:tabs>
          <w:tab w:val="center" w:pos="4153"/>
        </w:tabs>
        <w:spacing w:line="560" w:lineRule="atLeast"/>
        <w:ind w:firstLine="560" w:firstLineChars="200"/>
        <w:rPr>
          <w:rFonts w:eastAsiaTheme="minorEastAsia"/>
          <w:spacing w:val="-5"/>
          <w:sz w:val="28"/>
          <w:szCs w:val="28"/>
        </w:rPr>
      </w:pPr>
      <w:r>
        <w:rPr>
          <w:rFonts w:hint="eastAsia" w:ascii="仿宋_GB2312" w:hAnsi="宋体" w:eastAsia="仿宋_GB2312"/>
          <w:sz w:val="28"/>
          <w:szCs w:val="28"/>
        </w:rPr>
        <w:t>投标文件递交截止时间为202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lang w:val="en-US" w:eastAsia="zh-CN"/>
        </w:rPr>
        <w:t>10</w:t>
      </w:r>
      <w:r>
        <w:rPr>
          <w:rFonts w:hint="eastAsia" w:ascii="仿宋_GB2312" w:hAnsi="宋体" w:eastAsia="仿宋_GB2312"/>
          <w:sz w:val="28"/>
          <w:szCs w:val="28"/>
        </w:rPr>
        <w:t>:</w:t>
      </w:r>
      <w:r>
        <w:rPr>
          <w:rFonts w:hint="eastAsia" w:ascii="仿宋_GB2312" w:hAnsi="宋体" w:eastAsia="仿宋_GB2312"/>
          <w:sz w:val="28"/>
          <w:szCs w:val="28"/>
          <w:lang w:val="en-US" w:eastAsia="zh-CN"/>
        </w:rPr>
        <w:t>30</w:t>
      </w:r>
      <w:r>
        <w:rPr>
          <w:rFonts w:hint="eastAsia" w:ascii="仿宋_GB2312" w:hAnsi="宋体" w:eastAsia="仿宋_GB2312"/>
          <w:sz w:val="28"/>
          <w:szCs w:val="28"/>
        </w:rPr>
        <w:t>时，送交地点为四川秦巴高速公路有限责任公司210办公室，逾期送达的或者未送达到指定地点的投标文件不予受理，不接受邮寄方式投递的投标文件。</w:t>
      </w:r>
      <w:r>
        <w:rPr>
          <w:rFonts w:hint="eastAsia" w:ascii="仿宋_GB2312" w:hAnsi="宋体" w:eastAsia="仿宋_GB2312"/>
          <w:sz w:val="28"/>
          <w:szCs w:val="28"/>
          <w:lang w:eastAsia="zh-CN"/>
        </w:rPr>
        <w:t>比选</w:t>
      </w:r>
      <w:r>
        <w:rPr>
          <w:rFonts w:hint="eastAsia" w:ascii="仿宋_GB2312" w:hAnsi="宋体" w:eastAsia="仿宋_GB2312"/>
          <w:sz w:val="28"/>
          <w:szCs w:val="28"/>
        </w:rPr>
        <w:t>人将于送交投标文件截止的同一时间、同一地点公开各投标人的投标价。</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六、评标办法</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（一）</w:t>
      </w:r>
      <w:r>
        <w:rPr>
          <w:rFonts w:hint="eastAsia" w:ascii="仿宋_GB2312" w:hAnsi="宋体" w:eastAsia="仿宋_GB2312" w:cs="Courier New"/>
          <w:kern w:val="0"/>
          <w:sz w:val="28"/>
          <w:szCs w:val="28"/>
        </w:rPr>
        <w:t>本次</w:t>
      </w:r>
      <w:r>
        <w:rPr>
          <w:rFonts w:hint="eastAsia" w:ascii="仿宋_GB2312" w:hAnsi="宋体" w:eastAsia="仿宋_GB2312" w:cs="Courier New"/>
          <w:kern w:val="0"/>
          <w:sz w:val="28"/>
          <w:szCs w:val="28"/>
          <w:lang w:eastAsia="zh-CN"/>
        </w:rPr>
        <w:t>比选</w:t>
      </w:r>
      <w:r>
        <w:rPr>
          <w:rFonts w:hint="eastAsia" w:ascii="仿宋_GB2312" w:hAnsi="宋体" w:eastAsia="仿宋_GB2312" w:cs="Courier New"/>
          <w:kern w:val="0"/>
          <w:sz w:val="28"/>
          <w:szCs w:val="28"/>
        </w:rPr>
        <w:t>采用资格后审、单信封、最低价中标。</w:t>
      </w:r>
    </w:p>
    <w:p>
      <w:pPr>
        <w:pStyle w:val="11"/>
        <w:spacing w:line="560" w:lineRule="atLeast"/>
        <w:ind w:left="0" w:leftChars="0" w:firstLine="540"/>
        <w:rPr>
          <w:rFonts w:eastAsiaTheme="minorEastAsia"/>
          <w:spacing w:val="-5"/>
          <w:sz w:val="28"/>
          <w:szCs w:val="28"/>
        </w:rPr>
      </w:pPr>
      <w:r>
        <w:rPr>
          <w:rFonts w:hint="eastAsia" w:eastAsiaTheme="minorEastAsia"/>
          <w:spacing w:val="-5"/>
          <w:sz w:val="28"/>
          <w:szCs w:val="28"/>
        </w:rPr>
        <w:t>（二）评审方式</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1.在规定的时间、地点开标。参与招标的</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少于3个（不含3个）将不予开启，原封退还，该招标工作随即结束。</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2.开标由</w:t>
      </w:r>
      <w:r>
        <w:rPr>
          <w:rFonts w:hint="eastAsia" w:ascii="仿宋_GB2312" w:hAnsi="宋体" w:eastAsia="仿宋_GB2312" w:cs="Courier New"/>
          <w:kern w:val="0"/>
          <w:sz w:val="28"/>
          <w:szCs w:val="28"/>
          <w:lang w:eastAsia="zh-CN"/>
        </w:rPr>
        <w:t>比选</w:t>
      </w:r>
      <w:r>
        <w:rPr>
          <w:rFonts w:hint="eastAsia" w:ascii="仿宋_GB2312" w:hAnsi="宋体" w:eastAsia="仿宋_GB2312" w:cs="Courier New"/>
          <w:kern w:val="0"/>
          <w:sz w:val="28"/>
          <w:szCs w:val="28"/>
        </w:rPr>
        <w:t>人主持，招标人、</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参加。所有</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应派授权代表参加开标会，并按要求签到。</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3.开标时，由</w:t>
      </w:r>
      <w:r>
        <w:rPr>
          <w:rFonts w:hint="eastAsia" w:ascii="仿宋_GB2312" w:hAnsi="宋体" w:eastAsia="仿宋_GB2312" w:cs="Courier New"/>
          <w:kern w:val="0"/>
          <w:sz w:val="28"/>
          <w:szCs w:val="28"/>
          <w:lang w:eastAsia="zh-CN"/>
        </w:rPr>
        <w:t>比选</w:t>
      </w:r>
      <w:r>
        <w:rPr>
          <w:rFonts w:hint="eastAsia" w:ascii="仿宋_GB2312" w:hAnsi="宋体" w:eastAsia="仿宋_GB2312" w:cs="Courier New"/>
          <w:kern w:val="0"/>
          <w:sz w:val="28"/>
          <w:szCs w:val="28"/>
        </w:rPr>
        <w:t>人及</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代表检查报价文件的密封情况，对符合密封要求的投标文件当场逐一拆封，由</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代表签字确认。</w:t>
      </w:r>
    </w:p>
    <w:p>
      <w:pPr>
        <w:tabs>
          <w:tab w:val="center" w:pos="4153"/>
        </w:tabs>
        <w:spacing w:line="560" w:lineRule="atLeast"/>
        <w:ind w:firstLine="540" w:firstLineChars="200"/>
        <w:rPr>
          <w:rFonts w:eastAsiaTheme="minorEastAsia"/>
          <w:spacing w:val="-5"/>
          <w:sz w:val="28"/>
          <w:szCs w:val="28"/>
        </w:rPr>
      </w:pPr>
      <w:r>
        <w:rPr>
          <w:rFonts w:hint="eastAsia" w:eastAsiaTheme="minorEastAsia"/>
          <w:spacing w:val="-5"/>
          <w:sz w:val="28"/>
          <w:szCs w:val="28"/>
        </w:rPr>
        <w:t>4.</w:t>
      </w:r>
      <w:r>
        <w:rPr>
          <w:rFonts w:hint="eastAsia" w:ascii="仿宋_GB2312" w:hAnsi="宋体" w:eastAsia="仿宋_GB2312" w:cs="Courier New"/>
          <w:kern w:val="0"/>
          <w:sz w:val="28"/>
          <w:szCs w:val="28"/>
        </w:rPr>
        <w:t>按照</w:t>
      </w:r>
      <w:r>
        <w:rPr>
          <w:rFonts w:hint="eastAsia" w:ascii="仿宋_GB2312" w:hAnsi="宋体" w:eastAsia="仿宋_GB2312" w:cs="Courier New"/>
          <w:kern w:val="0"/>
          <w:sz w:val="28"/>
          <w:szCs w:val="28"/>
          <w:lang w:eastAsia="zh-CN"/>
        </w:rPr>
        <w:t>比选</w:t>
      </w:r>
      <w:r>
        <w:rPr>
          <w:rFonts w:hint="eastAsia" w:ascii="仿宋_GB2312" w:hAnsi="宋体" w:eastAsia="仿宋_GB2312" w:cs="Courier New"/>
          <w:kern w:val="0"/>
          <w:sz w:val="28"/>
          <w:szCs w:val="28"/>
        </w:rPr>
        <w:t>文件要求进行评审，资格审后审，以资格审查合格的最低</w:t>
      </w:r>
      <w:r>
        <w:rPr>
          <w:rFonts w:hint="eastAsia" w:ascii="仿宋_GB2312" w:hAnsi="宋体" w:eastAsia="仿宋_GB2312" w:cs="Courier New"/>
          <w:kern w:val="0"/>
          <w:sz w:val="28"/>
          <w:szCs w:val="28"/>
          <w:lang w:eastAsia="zh-CN"/>
        </w:rPr>
        <w:t>报价，</w:t>
      </w:r>
      <w:r>
        <w:rPr>
          <w:rFonts w:hint="eastAsia" w:ascii="仿宋_GB2312" w:hAnsi="宋体" w:eastAsia="仿宋_GB2312" w:cs="Courier New"/>
          <w:kern w:val="0"/>
          <w:sz w:val="28"/>
          <w:szCs w:val="28"/>
        </w:rPr>
        <w:t>由评标小组推荐1-3名中标候选人</w:t>
      </w:r>
      <w:r>
        <w:rPr>
          <w:rFonts w:hint="eastAsia" w:ascii="仿宋_GB2312" w:hAnsi="宋体" w:eastAsia="仿宋_GB2312" w:cs="Courier New"/>
          <w:kern w:val="0"/>
          <w:sz w:val="28"/>
          <w:szCs w:val="28"/>
          <w:lang w:eastAsia="zh-CN"/>
        </w:rPr>
        <w:t>，</w:t>
      </w:r>
      <w:r>
        <w:rPr>
          <w:rFonts w:hint="eastAsia" w:ascii="仿宋_GB2312" w:hAnsi="宋体" w:eastAsia="仿宋_GB2312" w:cs="Courier New"/>
          <w:kern w:val="0"/>
          <w:sz w:val="28"/>
          <w:szCs w:val="28"/>
        </w:rPr>
        <w:t>若有相同的最低报价人，以资格审查业绩多的报价人优先。</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七、比选申请文件的组成及内容</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（一）</w:t>
      </w:r>
      <w:r>
        <w:rPr>
          <w:rFonts w:hint="eastAsia" w:ascii="仿宋_GB2312" w:hAnsi="宋体" w:eastAsia="仿宋_GB2312" w:cs="Courier New"/>
          <w:kern w:val="0"/>
          <w:sz w:val="28"/>
          <w:szCs w:val="28"/>
          <w:lang w:eastAsia="zh-CN"/>
        </w:rPr>
        <w:t>投标</w:t>
      </w:r>
      <w:r>
        <w:rPr>
          <w:rFonts w:hint="eastAsia" w:ascii="仿宋_GB2312" w:hAnsi="宋体" w:eastAsia="仿宋_GB2312" w:cs="Courier New"/>
          <w:kern w:val="0"/>
          <w:sz w:val="28"/>
          <w:szCs w:val="28"/>
        </w:rPr>
        <w:t>函</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（二）</w:t>
      </w:r>
      <w:r>
        <w:rPr>
          <w:rFonts w:hint="eastAsia" w:ascii="仿宋_GB2312" w:hAnsi="宋体" w:eastAsia="仿宋_GB2312" w:cs="Courier New"/>
          <w:kern w:val="0"/>
          <w:sz w:val="28"/>
          <w:szCs w:val="28"/>
          <w:lang w:eastAsia="zh-CN"/>
        </w:rPr>
        <w:t>投标</w:t>
      </w:r>
      <w:r>
        <w:rPr>
          <w:rFonts w:hint="eastAsia" w:ascii="仿宋_GB2312" w:hAnsi="宋体" w:eastAsia="仿宋_GB2312" w:cs="Courier New"/>
          <w:kern w:val="0"/>
          <w:sz w:val="28"/>
          <w:szCs w:val="28"/>
        </w:rPr>
        <w:t>函附表</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1.授权书</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2</w:t>
      </w:r>
      <w:r>
        <w:rPr>
          <w:rFonts w:hint="eastAsia" w:ascii="仿宋_GB2312" w:hAnsi="宋体" w:eastAsia="仿宋_GB2312" w:cs="Courier New"/>
          <w:kern w:val="0"/>
          <w:sz w:val="28"/>
          <w:szCs w:val="28"/>
        </w:rPr>
        <w:t>.供应商法人营业执照复印件或扫描件，并加盖单位章。</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3</w:t>
      </w:r>
      <w:r>
        <w:rPr>
          <w:rFonts w:hint="eastAsia" w:ascii="仿宋_GB2312" w:hAnsi="宋体" w:eastAsia="仿宋_GB2312" w:cs="Courier New"/>
          <w:kern w:val="0"/>
          <w:sz w:val="28"/>
          <w:szCs w:val="28"/>
        </w:rPr>
        <w:t>.</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信誉情况加盖单位章。</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4</w:t>
      </w:r>
      <w:r>
        <w:rPr>
          <w:rFonts w:hint="eastAsia" w:ascii="仿宋_GB2312" w:hAnsi="宋体" w:eastAsia="仿宋_GB2312" w:cs="Courier New"/>
          <w:kern w:val="0"/>
          <w:sz w:val="28"/>
          <w:szCs w:val="28"/>
        </w:rPr>
        <w:t>.承诺书签字，并加盖单位章。</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5</w:t>
      </w:r>
      <w:r>
        <w:rPr>
          <w:rFonts w:hint="eastAsia" w:ascii="仿宋_GB2312" w:hAnsi="宋体" w:eastAsia="仿宋_GB2312" w:cs="Courier New"/>
          <w:kern w:val="0"/>
          <w:sz w:val="28"/>
          <w:szCs w:val="28"/>
        </w:rPr>
        <w:t>.技术建议书加盖单位章。</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6</w:t>
      </w:r>
      <w:r>
        <w:rPr>
          <w:rFonts w:hint="eastAsia" w:ascii="仿宋_GB2312" w:hAnsi="宋体" w:eastAsia="仿宋_GB2312" w:cs="Courier New"/>
          <w:kern w:val="0"/>
          <w:sz w:val="28"/>
          <w:szCs w:val="28"/>
        </w:rPr>
        <w:t>.业绩证明。</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7</w:t>
      </w:r>
      <w:r>
        <w:rPr>
          <w:rFonts w:hint="eastAsia" w:ascii="仿宋_GB2312" w:hAnsi="宋体" w:eastAsia="仿宋_GB2312" w:cs="Courier New"/>
          <w:kern w:val="0"/>
          <w:sz w:val="28"/>
          <w:szCs w:val="28"/>
        </w:rPr>
        <w:t>.</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其他资料。</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八、报价文件的印制和签署</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（一）</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文件应提交一式贰份，其中正本一份，副本一份（在封面上应分别标明）。报价文件副本应由其已编页码的正本复制（复印）而成，包括证明文件（复制件可用黑白件），正副本内容不一致的，以正本为准。</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（二）</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文件应使用不褪色、不变质的墨水打印或书写，并在规定签章处逐一签章。</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（三）</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文件根据招标文件格式的要求制作，内容应完整，</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文件的打印和书写应清楚工整，</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文件不得行间插字，涂改或者增删。如有修改错漏处，必须由</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的法定代表人或其授权代理表签字或盖个人印鉴。</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（四）</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文件应逐页编码，并装订成册。属于同一部分的内容应装订在一起。否则，招标人将对投标文件页数的丢失、散落或其它后果不承担任何责任。</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（五）</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文件统一用A4幅面。</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（六）</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文件的密封和标记，封套应密封完好。</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（七）报价不得超过</w:t>
      </w:r>
      <w:r>
        <w:rPr>
          <w:rFonts w:hint="eastAsia" w:ascii="仿宋_GB2312" w:hAnsi="宋体" w:eastAsia="仿宋_GB2312" w:cs="Courier New"/>
          <w:kern w:val="0"/>
          <w:sz w:val="28"/>
          <w:szCs w:val="28"/>
          <w:lang w:eastAsia="zh-CN"/>
        </w:rPr>
        <w:t>最高限价</w:t>
      </w:r>
      <w:r>
        <w:rPr>
          <w:rFonts w:hint="eastAsia" w:ascii="仿宋_GB2312" w:hAnsi="宋体" w:eastAsia="仿宋_GB2312" w:cs="Courier New"/>
          <w:kern w:val="0"/>
          <w:sz w:val="28"/>
          <w:szCs w:val="28"/>
        </w:rPr>
        <w:t>，否则</w:t>
      </w:r>
      <w:r>
        <w:rPr>
          <w:rFonts w:hint="eastAsia" w:ascii="仿宋_GB2312" w:hAnsi="宋体" w:eastAsia="仿宋_GB2312" w:cs="Courier New"/>
          <w:kern w:val="0"/>
          <w:sz w:val="28"/>
          <w:szCs w:val="28"/>
          <w:lang w:eastAsia="zh-CN"/>
        </w:rPr>
        <w:t>比选申请</w:t>
      </w:r>
      <w:r>
        <w:rPr>
          <w:rFonts w:hint="eastAsia" w:ascii="仿宋_GB2312" w:hAnsi="宋体" w:eastAsia="仿宋_GB2312" w:cs="Courier New"/>
          <w:kern w:val="0"/>
          <w:sz w:val="28"/>
          <w:szCs w:val="28"/>
        </w:rPr>
        <w:t>文件无效。</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九、合同的签订</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中标公告公示期满后，招标人召开定标会议，发中标通知书，招标人和</w:t>
      </w:r>
      <w:r>
        <w:rPr>
          <w:rFonts w:hint="eastAsia" w:ascii="仿宋_GB2312" w:hAnsi="宋体" w:eastAsia="仿宋_GB2312" w:cs="Courier New"/>
          <w:kern w:val="0"/>
          <w:sz w:val="28"/>
          <w:szCs w:val="28"/>
          <w:lang w:eastAsia="zh-CN"/>
        </w:rPr>
        <w:t>比选申请人</w:t>
      </w:r>
      <w:r>
        <w:rPr>
          <w:rFonts w:hint="eastAsia" w:ascii="仿宋_GB2312" w:hAnsi="宋体" w:eastAsia="仿宋_GB2312" w:cs="Courier New"/>
          <w:kern w:val="0"/>
          <w:sz w:val="28"/>
          <w:szCs w:val="28"/>
        </w:rPr>
        <w:t>进行合同谈判，在30个工作日内，双方签订合同，自合同签订之日起为期１年。</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十、联系方式</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招标人：四川秦巴高速公路有限责任公司</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地址：巴中市巴州区S2成巴高速附近四川秦巴高速公路有限责任公司</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联系人：龚先生</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电话：15328945366</w:t>
      </w:r>
    </w:p>
    <w:p>
      <w:pPr>
        <w:spacing w:before="120" w:beforeLines="50" w:after="120" w:afterLines="50" w:line="560" w:lineRule="exact"/>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十一、监督及投诉</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监督机构接受申请人的书面异议和投诉。对异议和投诉材料经核查虚假者的一方或诬告的一方将上报其主管部门，以列入不良信誉记录。</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监督机构：四川秦巴高速公路有限责任公司纪检工作部</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电  话：0827-5285832</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地  址：巴中市巴州区S2成巴高速附近四川秦巴高速公路有限责任公司</w:t>
      </w:r>
    </w:p>
    <w:p>
      <w:pPr>
        <w:tabs>
          <w:tab w:val="center" w:pos="4153"/>
        </w:tabs>
        <w:spacing w:line="560" w:lineRule="atLeast"/>
        <w:ind w:firstLine="560" w:firstLineChars="200"/>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邮  编：636000</w:t>
      </w:r>
    </w:p>
    <w:p>
      <w:pPr>
        <w:tabs>
          <w:tab w:val="center" w:pos="4153"/>
        </w:tabs>
        <w:spacing w:line="560" w:lineRule="atLeast"/>
        <w:ind w:firstLine="560" w:firstLineChars="200"/>
        <w:jc w:val="right"/>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eastAsia="zh-CN"/>
        </w:rPr>
        <w:t>比选</w:t>
      </w:r>
      <w:r>
        <w:rPr>
          <w:rFonts w:hint="eastAsia" w:ascii="仿宋_GB2312" w:hAnsi="宋体" w:eastAsia="仿宋_GB2312" w:cs="Courier New"/>
          <w:kern w:val="0"/>
          <w:sz w:val="28"/>
          <w:szCs w:val="28"/>
        </w:rPr>
        <w:t>人：四川秦巴高速公路有限责任公司</w:t>
      </w:r>
    </w:p>
    <w:p>
      <w:pPr>
        <w:tabs>
          <w:tab w:val="center" w:pos="4153"/>
        </w:tabs>
        <w:spacing w:line="560" w:lineRule="atLeast"/>
        <w:ind w:firstLine="560" w:firstLineChars="200"/>
        <w:jc w:val="right"/>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lang w:val="en-US" w:eastAsia="zh-CN"/>
        </w:rPr>
        <w:t>2024</w:t>
      </w:r>
      <w:r>
        <w:rPr>
          <w:rFonts w:hint="eastAsia" w:ascii="仿宋_GB2312" w:hAnsi="宋体" w:eastAsia="仿宋_GB2312" w:cs="Courier New"/>
          <w:kern w:val="0"/>
          <w:sz w:val="28"/>
          <w:szCs w:val="28"/>
        </w:rPr>
        <w:t>年</w:t>
      </w:r>
      <w:r>
        <w:rPr>
          <w:rFonts w:hint="eastAsia" w:ascii="仿宋_GB2312" w:hAnsi="宋体" w:eastAsia="仿宋_GB2312" w:cs="Courier New"/>
          <w:kern w:val="0"/>
          <w:sz w:val="28"/>
          <w:szCs w:val="28"/>
          <w:lang w:val="en-US" w:eastAsia="zh-CN"/>
        </w:rPr>
        <w:t>5</w:t>
      </w:r>
      <w:r>
        <w:rPr>
          <w:rFonts w:hint="eastAsia" w:ascii="仿宋_GB2312" w:hAnsi="宋体" w:eastAsia="仿宋_GB2312" w:cs="Courier New"/>
          <w:kern w:val="0"/>
          <w:sz w:val="28"/>
          <w:szCs w:val="28"/>
        </w:rPr>
        <w:t>月</w:t>
      </w:r>
      <w:r>
        <w:rPr>
          <w:rFonts w:hint="eastAsia" w:ascii="仿宋_GB2312" w:hAnsi="宋体" w:eastAsia="仿宋_GB2312" w:cs="Courier New"/>
          <w:kern w:val="0"/>
          <w:sz w:val="28"/>
          <w:szCs w:val="28"/>
          <w:lang w:val="en-US" w:eastAsia="zh-CN"/>
        </w:rPr>
        <w:t>30</w:t>
      </w:r>
      <w:r>
        <w:rPr>
          <w:rFonts w:hint="eastAsia" w:ascii="仿宋_GB2312" w:hAnsi="宋体" w:eastAsia="仿宋_GB2312" w:cs="Courier New"/>
          <w:kern w:val="0"/>
          <w:sz w:val="28"/>
          <w:szCs w:val="28"/>
        </w:rPr>
        <w:t>日</w:t>
      </w:r>
    </w:p>
    <w:p>
      <w:pPr>
        <w:rPr>
          <w:rFonts w:hint="eastAsia" w:eastAsiaTheme="minorEastAsia"/>
          <w:spacing w:val="-5"/>
          <w:sz w:val="28"/>
          <w:szCs w:val="28"/>
        </w:rPr>
      </w:pPr>
      <w:r>
        <w:rPr>
          <w:rFonts w:hint="eastAsia" w:eastAsiaTheme="minorEastAsia"/>
          <w:spacing w:val="-5"/>
          <w:sz w:val="28"/>
          <w:szCs w:val="28"/>
        </w:rPr>
        <w:br w:type="page"/>
      </w:r>
    </w:p>
    <w:p>
      <w:pPr>
        <w:pStyle w:val="11"/>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3" w:name="_Toc14003"/>
      <w:r>
        <w:rPr>
          <w:rFonts w:hint="eastAsia" w:asciiTheme="majorEastAsia" w:hAnsiTheme="majorEastAsia" w:eastAsiaTheme="majorEastAsia" w:cstheme="majorEastAsia"/>
          <w:b/>
          <w:bCs w:val="0"/>
          <w:color w:val="000000"/>
          <w:kern w:val="44"/>
          <w:sz w:val="36"/>
          <w:szCs w:val="36"/>
        </w:rPr>
        <w:t>比选申请人须知</w:t>
      </w:r>
      <w:bookmarkEnd w:id="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350"/>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4153"/>
              </w:tabs>
              <w:spacing w:line="56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条款号</w:t>
            </w:r>
          </w:p>
        </w:tc>
        <w:tc>
          <w:tcPr>
            <w:tcW w:w="1350" w:type="dxa"/>
            <w:vAlign w:val="center"/>
          </w:tcPr>
          <w:p>
            <w:pPr>
              <w:tabs>
                <w:tab w:val="center" w:pos="4153"/>
              </w:tabs>
              <w:spacing w:line="56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条款名称</w:t>
            </w:r>
          </w:p>
        </w:tc>
        <w:tc>
          <w:tcPr>
            <w:tcW w:w="7111" w:type="dxa"/>
            <w:vAlign w:val="center"/>
          </w:tcPr>
          <w:p>
            <w:pPr>
              <w:tabs>
                <w:tab w:val="center" w:pos="4153"/>
              </w:tabs>
              <w:spacing w:line="560" w:lineRule="atLeast"/>
              <w:ind w:firstLine="480" w:firstLineChars="20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w:t>
            </w:r>
          </w:p>
        </w:tc>
        <w:tc>
          <w:tcPr>
            <w:tcW w:w="7111"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比选人名称：四川秦巴高速公路有限责任公司</w:t>
            </w:r>
          </w:p>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比选人地址：巴中市巴州区S2成巴高速附近四川秦巴高速公路有限责任公司210会议室</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电话：（0827）5282036</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联系人：龚先生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项目名称</w:t>
            </w:r>
          </w:p>
        </w:tc>
        <w:tc>
          <w:tcPr>
            <w:tcW w:w="7111"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秦巴公司2024年度防雷接地检测项目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项目地点</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项目规模</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资金来源</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秦巴公司通行费收入，预算列支渠道为机电维护费专项资金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资金落实情况</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比选范围</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服务期限</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2024年6月至2024年7月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比选申请人信誉</w:t>
            </w:r>
          </w:p>
        </w:tc>
        <w:tc>
          <w:tcPr>
            <w:tcW w:w="7111" w:type="dxa"/>
            <w:vAlign w:val="center"/>
          </w:tcPr>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在“信用中国”网站（www.creditchina.gov.cn）中未被列入失信被执行人名单。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联合体</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分包</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构成比选文件的其他资料</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比选文件补遗书（若有）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比选申请人要求澄清比选文件</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递交比选申请文件截止之日3天前，可以书面形式要求澄清比选文件，且无需提供比选申请人信息。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比选文件澄清发出的形式</w:t>
            </w:r>
          </w:p>
        </w:tc>
        <w:tc>
          <w:tcPr>
            <w:tcW w:w="7111" w:type="dxa"/>
            <w:vAlign w:val="center"/>
          </w:tcPr>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比选人将以补遗书形式对比选文件进行澄清，补遗书公布在四川秦巴高速公路有限责任公司网站</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HYPERLINK "http://www.cngs3w.cn/"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（https://qbgs.scgs.com.cn/</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上，由比选申请人自行下载。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比选申请人确认收到比选文件澄清</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有比选申请人从比选文件中指定网站上自行查阅与下载，不要求比选申请人向比选人发出确认函。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比选文件修改发出的形式</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同本须知2.5款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2.8</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比选申请人确认收到比选文件修改</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同本须知2.5款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2.9</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比选申请文件密封形式</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2.10</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比选申请文件的组成</w:t>
            </w:r>
          </w:p>
        </w:tc>
        <w:tc>
          <w:tcPr>
            <w:tcW w:w="711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（1）投标函</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（2）投标函附表</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1.授权书</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2.供应商法人营业执照复印件或扫描件，并加盖单位章。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3.比选申请人信誉情况加盖单位章。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4.承诺书签字，并加盖单位章。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5.技术建议书加盖单位章。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6.业绩证明。</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7.比选申请人其他资料。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增值税税金的计算方式</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按国家规定的一般计税方法计算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报价方式</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金额：本项目采用最高限价的金额进行报价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最高投标限价</w:t>
            </w:r>
          </w:p>
        </w:tc>
        <w:tc>
          <w:tcPr>
            <w:tcW w:w="7111" w:type="dxa"/>
            <w:vAlign w:val="center"/>
          </w:tcPr>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本次预计检测点位数4620个（广巴段1482个点位、巴南段1118个点位、巴陕段2020个点位），按照公司2024年防雷检测招标单价75元/点计算，三路段每年共计34.65万元/年，作为本次项目比选的最高限价。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3.3</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比选文件有效期</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自递交比选申请文件截止日起60天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3.4</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是否允许递交备选报价方案</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3.5</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比选申请文件要求</w:t>
            </w:r>
          </w:p>
        </w:tc>
        <w:tc>
          <w:tcPr>
            <w:tcW w:w="711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报价文件应提交一式贰份，其中正本一份，副本一份（在封面上应分别标明）。报价文件副本应由其已编页码的正本复制（复印）而成，包括证明文件（复制件可用黑白件），正副本内容不一致的，以正本为准。</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（二）投标文件应使用不褪色、不变质的墨水打印或书写，并在规定签章处逐一签章。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投标文件根据招标文件格式的要求制作，内容应完整，投标文件的打印和书写应清楚工整，投标文件不得行间插字，涂改或者增删。如有修改错漏处，必须由比选申请人的法定代表人或其授权代理表签字或盖个人印鉴。</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（四）投标文件应逐页编码，并装订成册。属于同一部分的内容应装订在一起。否则，招标人将对投标文件页数的丢失、散落或其它后果不承担任何责任。</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（五）投标文件统一用A4幅面。</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（六）投标文件的密封和标记，封套应密封完好。</w:t>
            </w:r>
          </w:p>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（七）报价不得超过最高限价，否则投标文件无效。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3.6</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开标时间、地点</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详见比选公告，比选申请人应派代表出席并签认开标结果。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3.7</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是否退换申请文件</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在规定的时间、地点开标。参与招标的比选申请人少于3个（不含3个）将不予开启，原封退还，该招标工作随即结束。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3.8</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评审委员会的组建</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本项目评标工作小组根据《川高系统中介机构选聘管理办法（试行）的通知》（川高路函〔2021〕858号）第十七条相关规定组建评审工作小组，评审工作小组人数为5人及以上单数组成。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3.9</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评标办法</w:t>
            </w:r>
          </w:p>
        </w:tc>
        <w:tc>
          <w:tcPr>
            <w:tcW w:w="7111" w:type="dxa"/>
            <w:vAlign w:val="center"/>
          </w:tcPr>
          <w:p>
            <w:pPr>
              <w:pStyle w:val="11"/>
              <w:widowControl w:val="0"/>
              <w:numPr>
                <w:ilvl w:val="0"/>
                <w:numId w:val="0"/>
              </w:numPr>
              <w:spacing w:after="120"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本次比选采用资格后审、单信封、最低价中标。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3.10</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合同价格</w:t>
            </w:r>
          </w:p>
        </w:tc>
        <w:tc>
          <w:tcPr>
            <w:tcW w:w="7111" w:type="dxa"/>
            <w:vAlign w:val="center"/>
          </w:tcPr>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（1）本项目合同价格为比选申请文件报价，且经评审工作组确认的价格。</w:t>
            </w:r>
          </w:p>
          <w:p>
            <w:pPr>
              <w:pStyle w:val="11"/>
              <w:widowControl w:val="0"/>
              <w:numPr>
                <w:ilvl w:val="0"/>
                <w:numId w:val="0"/>
              </w:numPr>
              <w:spacing w:after="120" w:line="360" w:lineRule="auto"/>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（2）本项目合同价为费用总额报价，包括但不限于项目相关税费、人员工资、食宿费用、车辆费用、通行费等比选申请人为完成本项目所发生一切有关费用。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3.11</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签订合同</w:t>
            </w:r>
          </w:p>
        </w:tc>
        <w:tc>
          <w:tcPr>
            <w:tcW w:w="7111" w:type="dxa"/>
            <w:vAlign w:val="center"/>
          </w:tcPr>
          <w:p>
            <w:pPr>
              <w:pStyle w:val="11"/>
              <w:widowControl w:val="0"/>
              <w:numPr>
                <w:ilvl w:val="0"/>
                <w:numId w:val="0"/>
              </w:numPr>
              <w:spacing w:after="120" w:line="360" w:lineRule="auto"/>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中标人在收到中标通知书后30天内，比选人与中标人签订相关合同。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3.12</w:t>
            </w:r>
          </w:p>
        </w:tc>
        <w:tc>
          <w:tcPr>
            <w:tcW w:w="1350" w:type="dxa"/>
            <w:vAlign w:val="center"/>
          </w:tcPr>
          <w:p>
            <w:pPr>
              <w:keepNext w:val="0"/>
              <w:keepLines w:val="0"/>
              <w:pageBreakBefore w:val="0"/>
              <w:widowControl w:val="0"/>
              <w:tabs>
                <w:tab w:val="center" w:pos="4153"/>
              </w:tabs>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支付方式</w:t>
            </w:r>
          </w:p>
        </w:tc>
        <w:tc>
          <w:tcPr>
            <w:tcW w:w="7111" w:type="dxa"/>
            <w:vAlign w:val="center"/>
          </w:tcPr>
          <w:p>
            <w:pPr>
              <w:pStyle w:val="11"/>
              <w:widowControl w:val="0"/>
              <w:numPr>
                <w:ilvl w:val="0"/>
                <w:numId w:val="0"/>
              </w:numPr>
              <w:spacing w:after="120" w:line="360" w:lineRule="auto"/>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检测工作完成且乙方向甲方提供符合合同约定的《防雷装置检测报告》并经甲方确认并验收点位后，提供全额发票，甲方向乙方全额支付。</w:t>
            </w:r>
          </w:p>
        </w:tc>
      </w:tr>
    </w:tbl>
    <w:p>
      <w:r>
        <w:br w:type="page"/>
      </w: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lang w:eastAsia="zh-CN"/>
        </w:rPr>
      </w:pPr>
      <w:bookmarkStart w:id="4" w:name="_Toc14274"/>
      <w:r>
        <w:rPr>
          <w:rFonts w:hint="eastAsia" w:asciiTheme="majorEastAsia" w:hAnsiTheme="majorEastAsia" w:eastAsiaTheme="majorEastAsia" w:cstheme="majorEastAsia"/>
          <w:b/>
          <w:bCs w:val="0"/>
          <w:color w:val="000000"/>
          <w:kern w:val="44"/>
          <w:sz w:val="36"/>
          <w:szCs w:val="36"/>
          <w:lang w:eastAsia="zh-CN"/>
        </w:rPr>
        <w:t>评标方法</w:t>
      </w:r>
      <w:bookmarkEnd w:id="4"/>
    </w:p>
    <w:p>
      <w:pPr>
        <w:spacing w:before="120" w:beforeLines="50" w:after="120" w:afterLines="50" w:line="560" w:lineRule="exact"/>
        <w:jc w:val="center"/>
        <w:outlineLvl w:val="1"/>
        <w:rPr>
          <w:rFonts w:hint="eastAsia" w:ascii="仿宋_GB2312" w:hAnsi="宋体" w:eastAsia="仿宋_GB2312" w:cs="Courier New"/>
          <w:b/>
          <w:kern w:val="0"/>
          <w:lang w:val="en-US" w:eastAsia="zh-CN"/>
        </w:rPr>
      </w:pPr>
      <w:r>
        <w:rPr>
          <w:rFonts w:hint="eastAsia" w:ascii="仿宋_GB2312" w:hAnsi="宋体" w:eastAsia="仿宋_GB2312" w:cs="Courier New"/>
          <w:b/>
          <w:kern w:val="0"/>
          <w:lang w:val="en-US" w:eastAsia="zh-CN"/>
        </w:rPr>
        <w:t>一、评审办法前附表</w:t>
      </w:r>
    </w:p>
    <w:p>
      <w:pPr>
        <w:pStyle w:val="11"/>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用于进一步明确正文中的未尽事宜，由比选人根据本项目具体特点和实际需要编制和填写，与比选文件其他章节相衔接，并与本章正文内容不想抵触。</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62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条款号</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条款名称</w:t>
            </w:r>
          </w:p>
        </w:tc>
        <w:tc>
          <w:tcPr>
            <w:tcW w:w="6541"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评审方法</w:t>
            </w:r>
          </w:p>
        </w:tc>
        <w:tc>
          <w:tcPr>
            <w:tcW w:w="6541"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比选采用资格后审、单信封、最低价中标。即对满足比选文件实质要求的比选申请文件，按照经评审的报价由低到高排序，推荐１－３名中标候选人；若有报价相同的比选申请人，以资格审查业绩多的报价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2.1.1</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形式评审标准</w:t>
            </w:r>
          </w:p>
        </w:tc>
        <w:tc>
          <w:tcPr>
            <w:tcW w:w="654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（1）比选申请文件应使用不褪色、不变质的墨水打印或书写，并在规定签章处逐一签章。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比选申请文件根据招标文件格式的要求制作，内容应完整，比选申请文件的打印和书写应清楚工整，比选申请文件不得行间插字，涂改或者增删。如有修改错漏处，必须由比选申请人的法定代表人或其授权代理表签字或盖个人印鉴。</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（3）比选申请文件应逐页编码，并装订成册。属于同一部分的内容应装订在一起。否则，招标人将对投标文件页数的丢失、散落或其它后果不承担任何责任。</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（4）比选申请文件统一用A4幅面。</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（5）比选申请文件的密封和标记，封套应密封完好。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2.1.2</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资格评审标准</w:t>
            </w:r>
          </w:p>
        </w:tc>
        <w:tc>
          <w:tcPr>
            <w:tcW w:w="6541" w:type="dxa"/>
            <w:vAlign w:val="center"/>
          </w:tcPr>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（一）本次比选要求投标人须具有：</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1.具有独立法人资格，在中华人民共和国境内依法登记注册并有效存续的，具有独立法人资格的企业或事业单位。</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2.报价人须具备有效的《企业营业执照》（或《事业单位法人证书》）营业执照经营范围必须包含避雷装置的年度安全检测等相关资质。</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3.提供近3年（2021年1月1日起）公路行业或类似检测服务合同业绩至少一个（复印件加盖公章）；</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4.在“信用中国”网站（www.creditchina.gov.cn）中未被列入失信被执行人名单。</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5.询比申请人（单位）或法定代表人、项目负责人、技术负责人近三年（2021年1月1日起至今）有行贿犯罪档案记录的，不得参加询比申请。</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（二）本次防雷接地检测项目不允许分包。</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投标人单位负责人为同一人或者存在控股、管理关系的不同单位，不得参加同一标段投标。否则，相关投标均无效。（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（四）报价人对招标人商业信息及技术资料保密。</w:t>
            </w:r>
          </w:p>
          <w:p>
            <w:p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（五）报价人在现场开展防雷服务时，必须遵守招标人的相关安全规章制度，不得违规操作。</w:t>
            </w:r>
          </w:p>
          <w:p>
            <w:pPr>
              <w:pStyle w:val="11"/>
              <w:spacing w:line="560" w:lineRule="atLeast"/>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（六）检测工作结束后，乙方向甲方提供具备法定效力及符合相关主管部门要求的《防雷装置检测报告》，并应根据相关技术规范要求，针对检测结果提出整改意见和建议。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2.1.3</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响应性评审标准</w:t>
            </w:r>
          </w:p>
        </w:tc>
        <w:tc>
          <w:tcPr>
            <w:tcW w:w="6541" w:type="dxa"/>
            <w:vAlign w:val="center"/>
          </w:tcPr>
          <w:p>
            <w:pPr>
              <w:numPr>
                <w:ilvl w:val="0"/>
                <w:numId w:val="3"/>
              </w:numPr>
              <w:tabs>
                <w:tab w:val="center" w:pos="4153"/>
              </w:tabs>
              <w:spacing w:line="560" w:lineRule="atLeas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比选申请文件载明的比选项目合同期限未超过比选文件规定的时限；</w:t>
            </w:r>
          </w:p>
          <w:p>
            <w:pPr>
              <w:pStyle w:val="11"/>
              <w:numPr>
                <w:ilvl w:val="0"/>
                <w:numId w:val="3"/>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报价不得超过最高限价，否则比选申请文件无效。</w:t>
            </w:r>
          </w:p>
          <w:p>
            <w:pPr>
              <w:pStyle w:val="11"/>
              <w:numPr>
                <w:ilvl w:val="0"/>
                <w:numId w:val="3"/>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应提交一式贰份，其中正本一份，副本一份（在封面上应分别标明）。报价文件副本应由其已编页码的正本复制（复印）而成，包括证明文件（复制件可用黑白件），正副本内容不一致的，以正本为准。</w:t>
            </w:r>
          </w:p>
          <w:p>
            <w:pPr>
              <w:pStyle w:val="11"/>
              <w:numPr>
                <w:ilvl w:val="0"/>
                <w:numId w:val="3"/>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比选申请文件对比选文件的实质性要求和条件作出响应。</w:t>
            </w:r>
          </w:p>
          <w:p>
            <w:pPr>
              <w:pStyle w:val="11"/>
              <w:numPr>
                <w:ilvl w:val="0"/>
                <w:numId w:val="3"/>
              </w:numPr>
              <w:ind w:left="0" w:leftChars="0" w:firstLine="0"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报价函及报价说明不应附有比选人不能接受的条件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2.2.2</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评标价计算方法</w:t>
            </w:r>
          </w:p>
        </w:tc>
        <w:tc>
          <w:tcPr>
            <w:tcW w:w="6541" w:type="dxa"/>
            <w:vAlign w:val="center"/>
          </w:tcPr>
          <w:p>
            <w:pPr>
              <w:pStyle w:val="11"/>
              <w:numPr>
                <w:ilvl w:val="0"/>
                <w:numId w:val="0"/>
              </w:numPr>
              <w:ind w:leftChars="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比选申请文件报价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3.9.1</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推荐中标候选人</w:t>
            </w:r>
          </w:p>
        </w:tc>
        <w:tc>
          <w:tcPr>
            <w:tcW w:w="6541" w:type="dxa"/>
            <w:vAlign w:val="center"/>
          </w:tcPr>
          <w:p>
            <w:pPr>
              <w:pStyle w:val="11"/>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（1）评审委员会对通过评审的所有比选申请人，按照经评审的报价由低到高排序，推荐１－３名中标候选人；若有报价相同的比选申请人，以资格审查业绩多的报价人优先。</w:t>
            </w:r>
          </w:p>
          <w:p>
            <w:pPr>
              <w:pStyle w:val="11"/>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（2）当出现上述情况以外的情形，则按有利于比选人的原则进行推荐。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3.6.5</w:t>
            </w:r>
          </w:p>
        </w:tc>
        <w:tc>
          <w:tcPr>
            <w:tcW w:w="1620"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36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澄清和说明</w:t>
            </w:r>
          </w:p>
        </w:tc>
        <w:tc>
          <w:tcPr>
            <w:tcW w:w="6541" w:type="dxa"/>
            <w:vAlign w:val="center"/>
          </w:tcPr>
          <w:p>
            <w:pPr>
              <w:pStyle w:val="11"/>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（1）比选申请人收到问题澄清通知后必须在规定时间内以书面（含传真）形式给予答复，必须申请人的澄清比选加盖报价人单位章或由法定代表人或其他委托代理人签字；</w:t>
            </w:r>
          </w:p>
          <w:p>
            <w:pPr>
              <w:pStyle w:val="11"/>
              <w:numPr>
                <w:ilvl w:val="0"/>
                <w:numId w:val="0"/>
              </w:num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（2）若未影响到中标候选人排序，则可不要求报价人澄清。</w:t>
            </w:r>
          </w:p>
        </w:tc>
      </w:tr>
    </w:tbl>
    <w:p>
      <w:pPr>
        <w:numPr>
          <w:ilvl w:val="0"/>
          <w:numId w:val="0"/>
        </w:numPr>
        <w:spacing w:line="360" w:lineRule="auto"/>
        <w:jc w:val="both"/>
        <w:rPr>
          <w:rFonts w:hint="eastAsia" w:ascii="仿宋_GB2312" w:hAnsi="宋体" w:eastAsia="仿宋_GB2312" w:cs="Courier New"/>
          <w:b/>
          <w:kern w:val="0"/>
          <w:lang w:eastAsia="zh-CN"/>
        </w:rPr>
      </w:pPr>
    </w:p>
    <w:p>
      <w:pPr>
        <w:numPr>
          <w:ilvl w:val="0"/>
          <w:numId w:val="0"/>
        </w:numPr>
        <w:spacing w:line="360" w:lineRule="auto"/>
        <w:jc w:val="center"/>
        <w:rPr>
          <w:rFonts w:hint="eastAsia" w:ascii="仿宋_GB2312" w:hAnsi="宋体" w:eastAsia="仿宋_GB2312" w:cs="Courier New"/>
          <w:b/>
          <w:kern w:val="0"/>
          <w:lang w:eastAsia="zh-CN"/>
        </w:rPr>
      </w:pPr>
      <w:r>
        <w:rPr>
          <w:rFonts w:hint="eastAsia" w:ascii="仿宋_GB2312" w:hAnsi="宋体" w:eastAsia="仿宋_GB2312" w:cs="Courier New"/>
          <w:b/>
          <w:kern w:val="0"/>
          <w:lang w:eastAsia="zh-CN"/>
        </w:rPr>
        <w:t>二、评审办法</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1.评审方法</w:t>
      </w:r>
    </w:p>
    <w:p>
      <w:pPr>
        <w:pStyle w:val="11"/>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比选采用资格后审、单信封、最低价中标。即对满足比选文件实质要求的比选申请文件，按照经评审的报价由低到高排序，推荐１－３名中标候选人；若有报价相同的比选申请人，以资格审查业绩多的报价人优先。</w:t>
      </w:r>
    </w:p>
    <w:p>
      <w:pPr>
        <w:numPr>
          <w:ilvl w:val="0"/>
          <w:numId w:val="0"/>
        </w:numPr>
        <w:spacing w:line="360" w:lineRule="auto"/>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2.评审标准</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2.1初步评审标准</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2.1.1形式评审标准：见评审办法前附表。</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2.1.2资格评审标准：见评审办法前附表。</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2.1.3响应性评审标准：见评审办法前附表。</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3.评审程序</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3.1资格审查</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3.1.1评审委员会依据本章第2.1款规定的标准对比选申请文件进行初步评审。有一项不合符评审标准的，评审委员会应否决其报价。</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3.2报价文件相关信息的核查</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评审委员会应对评审过程中发现比选申请人存在串通报价、弄虚作假、行贿等违法行为的，评审委员会应否决其报价。</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3.3比选申请文件的澄清和说明</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3.3.1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报价。</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3.3.2澄清和说明不得超出比选申请文件的范围或改变比选申请文件的实质性内容（算术性错误的修正除外）。比选申请人的书面澄清、说明属于比选申请文件的组成部分。</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3.3.3评标委员会不得暗示或诱导比选申请人作出澄清、说明，对比选申请人提交的澄清、说明有疑问的，可以要求比选申请人进一步澄清或说明，直至满足评审委员会的要求。</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3.3.4凡超出比选文件规定的或给比选人带来未曾要求的利益的变化、偏差或其他因素在评审时不予考虑。</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3.4评审结果</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3.4.1审核委员会按照报价由低到高排序，推荐１－３名中标候选人；若有报价相同的比选申请人，以资格审查业绩多的报价人优先。具体详见评标办法前附表</w:t>
      </w:r>
    </w:p>
    <w:p>
      <w:pPr>
        <w:pStyle w:val="11"/>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3.4.2评审委员会完成评审后，应向比选人提交书面评审报告。</w:t>
      </w:r>
    </w:p>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br w:type="page"/>
      </w:r>
    </w:p>
    <w:p>
      <w:pPr>
        <w:pStyle w:val="11"/>
        <w:ind w:left="0" w:leftChars="0" w:firstLine="0" w:firstLineChars="0"/>
        <w:rPr>
          <w:rFonts w:hint="default" w:ascii="仿宋" w:hAnsi="仿宋" w:eastAsia="仿宋" w:cs="仿宋"/>
          <w:kern w:val="2"/>
          <w:sz w:val="24"/>
          <w:szCs w:val="24"/>
          <w:lang w:val="en-US" w:eastAsia="zh-CN" w:bidi="ar-SA"/>
        </w:r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rPr>
      </w:pPr>
      <w:bookmarkStart w:id="5" w:name="_Toc27469"/>
      <w:r>
        <w:rPr>
          <w:rFonts w:hint="eastAsia" w:asciiTheme="majorEastAsia" w:hAnsiTheme="majorEastAsia" w:eastAsiaTheme="majorEastAsia" w:cstheme="majorEastAsia"/>
          <w:b/>
          <w:bCs w:val="0"/>
          <w:color w:val="000000"/>
          <w:kern w:val="44"/>
          <w:sz w:val="36"/>
          <w:szCs w:val="36"/>
          <w:lang w:val="en-US" w:eastAsia="zh-CN"/>
        </w:rPr>
        <w:t>合同条款及格式</w:t>
      </w:r>
      <w:bookmarkEnd w:id="5"/>
    </w:p>
    <w:p>
      <w:pPr>
        <w:widowControl/>
        <w:autoSpaceDE w:val="0"/>
        <w:autoSpaceDN w:val="0"/>
        <w:spacing w:line="480" w:lineRule="exact"/>
        <w:jc w:val="both"/>
        <w:textAlignment w:val="bottom"/>
        <w:rPr>
          <w:rFonts w:eastAsia="黑体"/>
          <w:sz w:val="120"/>
        </w:rPr>
      </w:pPr>
    </w:p>
    <w:p>
      <w:pPr>
        <w:widowControl/>
        <w:autoSpaceDE w:val="0"/>
        <w:autoSpaceDN w:val="0"/>
        <w:spacing w:line="720" w:lineRule="atLeast"/>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 同 文 件</w:t>
      </w:r>
    </w:p>
    <w:p>
      <w:pPr>
        <w:widowControl/>
        <w:autoSpaceDE w:val="0"/>
        <w:autoSpaceDN w:val="0"/>
        <w:spacing w:line="360" w:lineRule="atLeast"/>
        <w:textAlignment w:val="bottom"/>
        <w:rPr>
          <w:rFonts w:eastAsia="黑体"/>
          <w:spacing w:val="30"/>
          <w:sz w:val="28"/>
        </w:rPr>
      </w:pPr>
    </w:p>
    <w:p>
      <w:pPr>
        <w:widowControl/>
        <w:autoSpaceDE w:val="0"/>
        <w:autoSpaceDN w:val="0"/>
        <w:spacing w:line="360" w:lineRule="atLeast"/>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widowControl/>
        <w:autoSpaceDE w:val="0"/>
        <w:autoSpaceDN w:val="0"/>
        <w:spacing w:line="360" w:lineRule="atLeast"/>
        <w:jc w:val="center"/>
        <w:textAlignment w:val="bottom"/>
        <w:rPr>
          <w:rFonts w:eastAsia="黑体"/>
          <w:spacing w:val="30"/>
        </w:rPr>
      </w:pPr>
    </w:p>
    <w:p>
      <w:pPr>
        <w:pStyle w:val="11"/>
        <w:rPr>
          <w:rFonts w:eastAsia="黑体"/>
          <w:spacing w:val="30"/>
        </w:rPr>
      </w:pPr>
    </w:p>
    <w:p>
      <w:pPr>
        <w:pStyle w:val="11"/>
        <w:rPr>
          <w:rFonts w:eastAsia="黑体"/>
          <w:spacing w:val="30"/>
        </w:rPr>
      </w:pPr>
    </w:p>
    <w:p>
      <w:pPr>
        <w:pStyle w:val="11"/>
        <w:rPr>
          <w:rFonts w:eastAsia="黑体"/>
          <w:spacing w:val="30"/>
        </w:rPr>
      </w:pPr>
    </w:p>
    <w:p>
      <w:pPr>
        <w:pStyle w:val="11"/>
        <w:rPr>
          <w:rFonts w:eastAsia="黑体"/>
          <w:spacing w:val="30"/>
        </w:rPr>
      </w:pPr>
    </w:p>
    <w:p>
      <w:pPr>
        <w:keepNext w:val="0"/>
        <w:keepLines w:val="0"/>
        <w:pageBreakBefore w:val="0"/>
        <w:widowControl/>
        <w:kinsoku/>
        <w:wordWrap/>
        <w:overflowPunct/>
        <w:topLinePunct w:val="0"/>
        <w:autoSpaceDE w:val="0"/>
        <w:autoSpaceDN w:val="0"/>
        <w:bidi w:val="0"/>
        <w:adjustRightInd/>
        <w:snapToGrid/>
        <w:spacing w:line="840" w:lineRule="auto"/>
        <w:jc w:val="left"/>
        <w:textAlignment w:val="bottom"/>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项目名称</w:t>
      </w:r>
      <w:r>
        <w:rPr>
          <w:rFonts w:hint="eastAsia" w:ascii="方正小标宋简体" w:hAnsi="方正小标宋简体" w:eastAsia="方正小标宋简体" w:cs="方正小标宋简体"/>
          <w:sz w:val="28"/>
          <w:szCs w:val="28"/>
        </w:rPr>
        <w:t>：</w:t>
      </w:r>
    </w:p>
    <w:p>
      <w:pPr>
        <w:keepNext w:val="0"/>
        <w:keepLines w:val="0"/>
        <w:pageBreakBefore w:val="0"/>
        <w:widowControl/>
        <w:kinsoku/>
        <w:wordWrap/>
        <w:overflowPunct/>
        <w:topLinePunct w:val="0"/>
        <w:autoSpaceDE w:val="0"/>
        <w:autoSpaceDN w:val="0"/>
        <w:bidi w:val="0"/>
        <w:adjustRightInd/>
        <w:snapToGrid/>
        <w:spacing w:line="840" w:lineRule="auto"/>
        <w:ind w:left="0" w:leftChars="0" w:firstLine="0" w:firstLineChars="0"/>
        <w:jc w:val="left"/>
        <w:textAlignment w:val="bottom"/>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甲方（发包人）</w:t>
      </w:r>
      <w:r>
        <w:rPr>
          <w:rFonts w:hint="eastAsia" w:ascii="方正小标宋简体" w:hAnsi="方正小标宋简体" w:eastAsia="方正小标宋简体" w:cs="方正小标宋简体"/>
          <w:sz w:val="28"/>
          <w:szCs w:val="28"/>
        </w:rPr>
        <w:t>：</w:t>
      </w:r>
      <w:r>
        <w:rPr>
          <w:rFonts w:hint="eastAsia" w:ascii="方正小标宋简体" w:hAnsi="方正小标宋简体" w:eastAsia="方正小标宋简体" w:cs="方正小标宋简体"/>
          <w:sz w:val="28"/>
          <w:szCs w:val="28"/>
          <w:lang w:eastAsia="zh-CN"/>
        </w:rPr>
        <w:t>四川秦巴高速公路有限责任公司</w:t>
      </w:r>
    </w:p>
    <w:p>
      <w:pPr>
        <w:pStyle w:val="11"/>
        <w:keepNext w:val="0"/>
        <w:keepLines w:val="0"/>
        <w:pageBreakBefore w:val="0"/>
        <w:kinsoku/>
        <w:wordWrap/>
        <w:overflowPunct/>
        <w:topLinePunct w:val="0"/>
        <w:bidi w:val="0"/>
        <w:adjustRightInd/>
        <w:snapToGrid/>
        <w:spacing w:line="840" w:lineRule="auto"/>
        <w:ind w:left="344" w:leftChars="0" w:hanging="344" w:hangingChars="123"/>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乙方（承包人）：</w:t>
      </w:r>
    </w:p>
    <w:p>
      <w:pPr>
        <w:pStyle w:val="11"/>
        <w:keepNext w:val="0"/>
        <w:keepLines w:val="0"/>
        <w:pageBreakBefore w:val="0"/>
        <w:kinsoku/>
        <w:wordWrap/>
        <w:overflowPunct/>
        <w:topLinePunct w:val="0"/>
        <w:bidi w:val="0"/>
        <w:adjustRightInd/>
        <w:snapToGrid/>
        <w:spacing w:line="840" w:lineRule="auto"/>
        <w:ind w:left="344" w:leftChars="0" w:hanging="344" w:hangingChars="123"/>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签订地点：四川省巴中市</w:t>
      </w:r>
    </w:p>
    <w:p>
      <w:pPr>
        <w:pStyle w:val="11"/>
        <w:keepNext w:val="0"/>
        <w:keepLines w:val="0"/>
        <w:pageBreakBefore w:val="0"/>
        <w:kinsoku/>
        <w:wordWrap/>
        <w:overflowPunct/>
        <w:topLinePunct w:val="0"/>
        <w:bidi w:val="0"/>
        <w:adjustRightInd/>
        <w:snapToGrid/>
        <w:spacing w:line="840" w:lineRule="auto"/>
        <w:ind w:left="344" w:leftChars="0" w:hanging="344" w:hangingChars="123"/>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签订时间：2024年  月</w:t>
      </w:r>
    </w:p>
    <w:p>
      <w:pPr>
        <w:pStyle w:val="11"/>
        <w:ind w:left="0" w:leftChars="0" w:firstLine="524" w:firstLineChars="228"/>
        <w:rPr>
          <w:rFonts w:hint="eastAsia" w:ascii="Times New Roman" w:hAnsi="Times New Roman" w:cs="Times New Roman" w:eastAsiaTheme="minorEastAsia"/>
          <w:spacing w:val="-5"/>
          <w:kern w:val="2"/>
          <w:sz w:val="24"/>
          <w:szCs w:val="24"/>
          <w:lang w:val="en-US" w:eastAsia="zh-CN" w:bidi="ar-SA"/>
        </w:rPr>
      </w:pPr>
      <w:r>
        <w:rPr>
          <w:rFonts w:hint="eastAsia" w:ascii="Times New Roman" w:hAnsi="Times New Roman" w:cs="Times New Roman" w:eastAsiaTheme="minorEastAsia"/>
          <w:spacing w:val="-5"/>
          <w:kern w:val="2"/>
          <w:sz w:val="24"/>
          <w:szCs w:val="24"/>
          <w:lang w:val="en-US" w:eastAsia="zh-CN" w:bidi="ar-SA"/>
        </w:rPr>
        <w:t>合同双方就（项目名称），经协商一致，签订本合同。</w:t>
      </w:r>
    </w:p>
    <w:p>
      <w:pPr>
        <w:spacing w:line="480" w:lineRule="exact"/>
        <w:ind w:firstLine="554" w:firstLineChars="219"/>
        <w:rPr>
          <w:rFonts w:ascii="宋体" w:hAnsi="宋体" w:eastAsia="宋体" w:cs="宋体"/>
          <w:b/>
          <w:bCs/>
          <w:spacing w:val="6"/>
          <w:sz w:val="24"/>
        </w:rPr>
      </w:pPr>
      <w:r>
        <w:rPr>
          <w:rFonts w:hint="eastAsia" w:ascii="宋体" w:hAnsi="宋体" w:eastAsia="宋体" w:cs="宋体"/>
          <w:b/>
          <w:bCs/>
          <w:spacing w:val="6"/>
          <w:sz w:val="24"/>
        </w:rPr>
        <w:t>一</w:t>
      </w:r>
      <w:r>
        <w:rPr>
          <w:rFonts w:hint="eastAsia" w:ascii="宋体" w:hAnsi="宋体" w:eastAsia="宋体" w:cs="宋体"/>
          <w:spacing w:val="-55"/>
          <w:sz w:val="24"/>
        </w:rPr>
        <w:t xml:space="preserve"> </w:t>
      </w:r>
      <w:r>
        <w:rPr>
          <w:rFonts w:hint="eastAsia" w:ascii="宋体" w:hAnsi="宋体" w:eastAsia="宋体" w:cs="宋体"/>
          <w:b/>
          <w:bCs/>
          <w:spacing w:val="6"/>
          <w:sz w:val="24"/>
        </w:rPr>
        <w:t>、维保项目内容</w:t>
      </w:r>
    </w:p>
    <w:tbl>
      <w:tblPr>
        <w:tblStyle w:val="12"/>
        <w:tblW w:w="0" w:type="auto"/>
        <w:jc w:val="center"/>
        <w:tblLayout w:type="fixed"/>
        <w:tblCellMar>
          <w:top w:w="0" w:type="dxa"/>
          <w:left w:w="108" w:type="dxa"/>
          <w:bottom w:w="0" w:type="dxa"/>
          <w:right w:w="108" w:type="dxa"/>
        </w:tblCellMar>
      </w:tblPr>
      <w:tblGrid>
        <w:gridCol w:w="539"/>
        <w:gridCol w:w="1453"/>
        <w:gridCol w:w="4097"/>
        <w:gridCol w:w="843"/>
        <w:gridCol w:w="1098"/>
        <w:gridCol w:w="1056"/>
      </w:tblGrid>
      <w:tr>
        <w:tblPrEx>
          <w:tblCellMar>
            <w:top w:w="0" w:type="dxa"/>
            <w:left w:w="108" w:type="dxa"/>
            <w:bottom w:w="0" w:type="dxa"/>
            <w:right w:w="108" w:type="dxa"/>
          </w:tblCellMar>
        </w:tblPrEx>
        <w:trPr>
          <w:trHeight w:val="396" w:hRule="atLeast"/>
          <w:jc w:val="center"/>
        </w:trPr>
        <w:tc>
          <w:tcPr>
            <w:tcW w:w="908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000000"/>
                <w:sz w:val="28"/>
              </w:rPr>
            </w:pPr>
            <w:r>
              <w:rPr>
                <w:rFonts w:hint="eastAsia" w:ascii="仿宋_GB2312" w:eastAsia="仿宋_GB2312"/>
                <w:color w:val="000000"/>
                <w:sz w:val="28"/>
              </w:rPr>
              <w:t>（</w:t>
            </w:r>
            <w:r>
              <w:rPr>
                <w:rFonts w:hint="eastAsia" w:ascii="仿宋_GB2312" w:eastAsia="仿宋_GB2312"/>
                <w:color w:val="000000"/>
                <w:sz w:val="28"/>
                <w:lang w:eastAsia="zh-CN"/>
              </w:rPr>
              <w:t>202</w:t>
            </w:r>
            <w:r>
              <w:rPr>
                <w:rFonts w:hint="eastAsia" w:ascii="仿宋_GB2312" w:eastAsia="仿宋_GB2312"/>
                <w:color w:val="000000"/>
                <w:sz w:val="28"/>
                <w:lang w:val="en-US" w:eastAsia="zh-CN"/>
              </w:rPr>
              <w:t>4</w:t>
            </w:r>
            <w:r>
              <w:rPr>
                <w:rFonts w:hint="eastAsia" w:ascii="仿宋_GB2312" w:eastAsia="仿宋_GB2312"/>
                <w:color w:val="000000"/>
                <w:sz w:val="28"/>
                <w:lang w:eastAsia="zh-CN"/>
              </w:rPr>
              <w:t>年</w:t>
            </w:r>
            <w:r>
              <w:rPr>
                <w:rFonts w:hint="eastAsia" w:ascii="仿宋_GB2312" w:eastAsia="仿宋_GB2312"/>
                <w:color w:val="000000"/>
                <w:sz w:val="28"/>
              </w:rPr>
              <w:t>度防雷装置检测）</w:t>
            </w:r>
          </w:p>
        </w:tc>
      </w:tr>
      <w:tr>
        <w:tblPrEx>
          <w:tblCellMar>
            <w:top w:w="0" w:type="dxa"/>
            <w:left w:w="108" w:type="dxa"/>
            <w:bottom w:w="0" w:type="dxa"/>
            <w:right w:w="108" w:type="dxa"/>
          </w:tblCellMar>
        </w:tblPrEx>
        <w:trPr>
          <w:trHeight w:val="270" w:hRule="atLeast"/>
          <w:jc w:val="center"/>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序 号</w:t>
            </w:r>
          </w:p>
        </w:tc>
        <w:tc>
          <w:tcPr>
            <w:tcW w:w="1453" w:type="dxa"/>
            <w:tcBorders>
              <w:top w:val="nil"/>
              <w:left w:val="nil"/>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检测位置</w:t>
            </w:r>
          </w:p>
        </w:tc>
        <w:tc>
          <w:tcPr>
            <w:tcW w:w="4097" w:type="dxa"/>
            <w:tcBorders>
              <w:top w:val="nil"/>
              <w:left w:val="nil"/>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检测项目</w:t>
            </w:r>
          </w:p>
        </w:tc>
        <w:tc>
          <w:tcPr>
            <w:tcW w:w="843" w:type="dxa"/>
            <w:tcBorders>
              <w:top w:val="nil"/>
              <w:left w:val="nil"/>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测试点次</w:t>
            </w:r>
          </w:p>
        </w:tc>
        <w:tc>
          <w:tcPr>
            <w:tcW w:w="1098" w:type="dxa"/>
            <w:tcBorders>
              <w:top w:val="nil"/>
              <w:left w:val="nil"/>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收费标准</w:t>
            </w:r>
          </w:p>
        </w:tc>
        <w:tc>
          <w:tcPr>
            <w:tcW w:w="1056" w:type="dxa"/>
            <w:tcBorders>
              <w:top w:val="nil"/>
              <w:left w:val="nil"/>
              <w:bottom w:val="single" w:color="auto" w:sz="4" w:space="0"/>
              <w:right w:val="single" w:color="auto" w:sz="4" w:space="0"/>
            </w:tcBorders>
            <w:noWrap w:val="0"/>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合 计</w:t>
            </w:r>
          </w:p>
        </w:tc>
      </w:tr>
      <w:tr>
        <w:tblPrEx>
          <w:tblCellMar>
            <w:top w:w="0" w:type="dxa"/>
            <w:left w:w="108" w:type="dxa"/>
            <w:bottom w:w="0" w:type="dxa"/>
            <w:right w:w="108" w:type="dxa"/>
          </w:tblCellMar>
        </w:tblPrEx>
        <w:trPr>
          <w:trHeight w:val="109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45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4097"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843"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val="en-US" w:eastAsia="zh-CN"/>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1056"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val="en-US" w:eastAsia="zh-CN"/>
              </w:rPr>
            </w:pPr>
          </w:p>
        </w:tc>
      </w:tr>
      <w:tr>
        <w:tblPrEx>
          <w:tblCellMar>
            <w:top w:w="0" w:type="dxa"/>
            <w:left w:w="108" w:type="dxa"/>
            <w:bottom w:w="0" w:type="dxa"/>
            <w:right w:w="108" w:type="dxa"/>
          </w:tblCellMar>
        </w:tblPrEx>
        <w:trPr>
          <w:trHeight w:val="1099"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45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4097"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1"/>
                <w:szCs w:val="21"/>
                <w:lang w:val="en-US" w:eastAsia="zh-CN"/>
              </w:rPr>
            </w:pPr>
          </w:p>
        </w:tc>
        <w:tc>
          <w:tcPr>
            <w:tcW w:w="843"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val="en-US" w:eastAsia="zh-CN"/>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1"/>
                <w:szCs w:val="21"/>
              </w:rPr>
            </w:pPr>
          </w:p>
        </w:tc>
        <w:tc>
          <w:tcPr>
            <w:tcW w:w="1056" w:type="dxa"/>
            <w:tcBorders>
              <w:top w:val="single" w:color="auto" w:sz="4" w:space="0"/>
              <w:left w:val="nil"/>
              <w:bottom w:val="single" w:color="auto" w:sz="4" w:space="0"/>
              <w:right w:val="single" w:color="auto" w:sz="4" w:space="0"/>
            </w:tcBorders>
            <w:noWrap w:val="0"/>
            <w:vAlign w:val="center"/>
          </w:tcPr>
          <w:p>
            <w:pPr>
              <w:rPr>
                <w:rFonts w:hint="default" w:ascii="仿宋_GB2312" w:hAnsi="仿宋_GB2312" w:eastAsia="仿宋_GB2312" w:cs="仿宋_GB2312"/>
                <w:sz w:val="21"/>
                <w:szCs w:val="21"/>
                <w:lang w:val="en-US" w:eastAsia="zh-CN"/>
              </w:rPr>
            </w:pPr>
          </w:p>
        </w:tc>
      </w:tr>
      <w:tr>
        <w:tblPrEx>
          <w:tblCellMar>
            <w:top w:w="0" w:type="dxa"/>
            <w:left w:w="108" w:type="dxa"/>
            <w:bottom w:w="0" w:type="dxa"/>
            <w:right w:w="108" w:type="dxa"/>
          </w:tblCellMar>
        </w:tblPrEx>
        <w:trPr>
          <w:trHeight w:val="27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总计</w:t>
            </w:r>
          </w:p>
        </w:tc>
        <w:tc>
          <w:tcPr>
            <w:tcW w:w="1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40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84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lang w:val="en-US" w:eastAsia="zh-CN"/>
              </w:rPr>
            </w:pPr>
          </w:p>
        </w:tc>
        <w:tc>
          <w:tcPr>
            <w:tcW w:w="1098"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rPr>
            </w:pPr>
          </w:p>
        </w:tc>
        <w:tc>
          <w:tcPr>
            <w:tcW w:w="1056"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color w:val="000000"/>
                <w:sz w:val="21"/>
                <w:szCs w:val="21"/>
                <w:lang w:val="en-US" w:eastAsia="zh-CN"/>
              </w:rPr>
            </w:pPr>
          </w:p>
        </w:tc>
      </w:tr>
    </w:tbl>
    <w:p>
      <w:pPr>
        <w:pStyle w:val="11"/>
        <w:keepNext w:val="0"/>
        <w:keepLines w:val="0"/>
        <w:pageBreakBefore w:val="0"/>
        <w:widowControl w:val="0"/>
        <w:kinsoku/>
        <w:wordWrap/>
        <w:overflowPunct/>
        <w:topLinePunct w:val="0"/>
        <w:bidi w:val="0"/>
        <w:adjustRightInd/>
        <w:spacing w:after="0" w:line="520" w:lineRule="exact"/>
        <w:ind w:left="0" w:leftChars="0" w:firstLine="635" w:firstLineChars="227"/>
        <w:textAlignment w:val="auto"/>
        <w:rPr>
          <w:rFonts w:ascii="仿宋_GB2312" w:hAnsi="仿宋_GB2312" w:eastAsia="仿宋_GB2312" w:cs="仿宋_GB2312"/>
          <w:sz w:val="28"/>
          <w:szCs w:val="28"/>
        </w:rPr>
      </w:pPr>
    </w:p>
    <w:p>
      <w:pPr>
        <w:numPr>
          <w:ilvl w:val="0"/>
          <w:numId w:val="4"/>
        </w:numPr>
        <w:spacing w:line="480" w:lineRule="exact"/>
        <w:ind w:firstLine="545" w:firstLineChars="219"/>
        <w:rPr>
          <w:rFonts w:ascii="宋体" w:hAnsi="宋体" w:eastAsia="宋体" w:cs="宋体"/>
          <w:b/>
          <w:bCs/>
          <w:spacing w:val="4"/>
          <w:sz w:val="24"/>
        </w:rPr>
      </w:pPr>
      <w:r>
        <w:rPr>
          <w:rFonts w:hint="eastAsia" w:ascii="宋体" w:hAnsi="宋体" w:eastAsia="宋体" w:cs="宋体"/>
          <w:b/>
          <w:bCs/>
          <w:spacing w:val="4"/>
          <w:sz w:val="24"/>
        </w:rPr>
        <w:t>甲乙双方的权利和义务</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w:t>
      </w:r>
      <w:r>
        <w:rPr>
          <w:rFonts w:hint="eastAsia" w:ascii="仿宋_GB2312" w:eastAsia="仿宋_GB2312"/>
          <w:sz w:val="28"/>
        </w:rPr>
        <w:t>接乙方检测通知后，甲方应妥善安排人员协助乙方完成有关检测事宜。</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w:t>
      </w:r>
      <w:r>
        <w:rPr>
          <w:rFonts w:hint="eastAsia" w:ascii="仿宋_GB2312" w:eastAsia="仿宋_GB2312"/>
          <w:sz w:val="28"/>
        </w:rPr>
        <w:t>乙方是</w:t>
      </w:r>
      <w:r>
        <w:rPr>
          <w:rFonts w:hint="eastAsia" w:ascii="仿宋_GB2312" w:eastAsia="仿宋_GB2312"/>
          <w:sz w:val="28"/>
          <w:lang w:val="en-US" w:eastAsia="zh-CN"/>
        </w:rPr>
        <w:t>能</w:t>
      </w:r>
      <w:r>
        <w:rPr>
          <w:rFonts w:hint="eastAsia" w:ascii="仿宋_GB2312" w:eastAsia="仿宋_GB2312"/>
          <w:sz w:val="28"/>
        </w:rPr>
        <w:t>承担</w:t>
      </w:r>
      <w:r>
        <w:rPr>
          <w:rFonts w:hint="eastAsia" w:ascii="仿宋_GB2312" w:eastAsia="仿宋_GB2312"/>
          <w:sz w:val="28"/>
          <w:lang w:val="en-US" w:eastAsia="zh-CN"/>
        </w:rPr>
        <w:t>四川地区</w:t>
      </w:r>
      <w:r>
        <w:rPr>
          <w:rFonts w:hint="eastAsia" w:ascii="仿宋_GB2312" w:eastAsia="仿宋_GB2312"/>
          <w:sz w:val="28"/>
        </w:rPr>
        <w:t>防雷装置</w:t>
      </w:r>
      <w:r>
        <w:rPr>
          <w:rFonts w:hint="eastAsia" w:ascii="仿宋_GB2312" w:eastAsia="仿宋_GB2312"/>
          <w:sz w:val="28"/>
          <w:lang w:val="en-US" w:eastAsia="zh-CN"/>
        </w:rPr>
        <w:t>设计、施工、</w:t>
      </w:r>
      <w:r>
        <w:rPr>
          <w:rFonts w:hint="eastAsia" w:ascii="仿宋_GB2312" w:eastAsia="仿宋_GB2312"/>
          <w:sz w:val="28"/>
        </w:rPr>
        <w:t>检测</w:t>
      </w:r>
      <w:r>
        <w:rPr>
          <w:rFonts w:hint="eastAsia" w:ascii="仿宋_GB2312" w:eastAsia="仿宋_GB2312"/>
          <w:sz w:val="28"/>
          <w:lang w:val="en-US" w:eastAsia="zh-CN"/>
        </w:rPr>
        <w:t>服务</w:t>
      </w:r>
      <w:r>
        <w:rPr>
          <w:rFonts w:hint="eastAsia" w:ascii="仿宋_GB2312" w:eastAsia="仿宋_GB2312"/>
          <w:sz w:val="28"/>
        </w:rPr>
        <w:t>工作</w:t>
      </w:r>
      <w:r>
        <w:rPr>
          <w:rFonts w:hint="eastAsia" w:ascii="仿宋_GB2312" w:eastAsia="仿宋_GB2312"/>
          <w:sz w:val="28"/>
          <w:lang w:val="en-US" w:eastAsia="zh-CN"/>
        </w:rPr>
        <w:t>的企业</w:t>
      </w:r>
      <w:r>
        <w:rPr>
          <w:rFonts w:hint="eastAsia" w:ascii="仿宋_GB2312" w:eastAsia="仿宋_GB2312"/>
          <w:sz w:val="28"/>
        </w:rPr>
        <w:t>。根据《中华人民共和国气象法》，《四川省</w:t>
      </w:r>
      <w:r>
        <w:rPr>
          <w:rFonts w:hint="eastAsia" w:ascii="仿宋_GB2312" w:eastAsia="仿宋_GB2312"/>
          <w:sz w:val="28"/>
          <w:lang w:val="en-US" w:eastAsia="zh-CN"/>
        </w:rPr>
        <w:t>雷电灾害防御管理规定</w:t>
      </w:r>
      <w:r>
        <w:rPr>
          <w:rFonts w:hint="eastAsia" w:ascii="仿宋_GB2312" w:eastAsia="仿宋_GB2312"/>
          <w:sz w:val="28"/>
        </w:rPr>
        <w:t>》等相关法律法规规定，并受甲方委托，对甲方提供的防雷装置实</w:t>
      </w:r>
      <w:r>
        <w:rPr>
          <w:rFonts w:hint="eastAsia" w:ascii="仿宋" w:hAnsi="仿宋" w:eastAsia="仿宋" w:cs="仿宋"/>
          <w:sz w:val="28"/>
        </w:rPr>
        <w:t>施检测工作</w:t>
      </w:r>
      <w:r>
        <w:rPr>
          <w:rFonts w:hint="eastAsia" w:ascii="仿宋_GB2312" w:eastAsia="仿宋_GB2312"/>
          <w:sz w:val="28"/>
        </w:rPr>
        <w:t>。</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eastAsia="仿宋_GB2312"/>
          <w:sz w:val="28"/>
        </w:rPr>
        <w:t>协议生效后十</w:t>
      </w:r>
      <w:r>
        <w:rPr>
          <w:rFonts w:hint="eastAsia" w:ascii="仿宋_GB2312" w:eastAsia="仿宋_GB2312"/>
          <w:sz w:val="28"/>
          <w:lang w:val="en-US" w:eastAsia="zh-CN"/>
        </w:rPr>
        <w:t>五</w:t>
      </w:r>
      <w:r>
        <w:rPr>
          <w:rFonts w:hint="eastAsia" w:ascii="仿宋_GB2312" w:eastAsia="仿宋_GB2312"/>
          <w:sz w:val="28"/>
        </w:rPr>
        <w:t>个工作日内，乙方应安排人员进场完成相关检测工作</w:t>
      </w:r>
      <w:r>
        <w:rPr>
          <w:rFonts w:hint="default" w:ascii="仿宋_GB2312" w:eastAsia="仿宋_GB2312"/>
          <w:sz w:val="28"/>
        </w:rPr>
        <w:t>，</w:t>
      </w:r>
      <w:r>
        <w:rPr>
          <w:rFonts w:hint="eastAsia" w:ascii="仿宋_GB2312" w:eastAsia="仿宋_GB2312"/>
          <w:sz w:val="28"/>
          <w:lang w:val="en-US" w:eastAsia="zh-Hans"/>
        </w:rPr>
        <w:t>若乙方延期完成检测工作</w:t>
      </w:r>
      <w:r>
        <w:rPr>
          <w:rFonts w:hint="default" w:ascii="仿宋_GB2312" w:eastAsia="仿宋_GB2312"/>
          <w:sz w:val="28"/>
          <w:lang w:eastAsia="zh-Hans"/>
        </w:rPr>
        <w:t>，</w:t>
      </w:r>
      <w:r>
        <w:rPr>
          <w:rFonts w:hint="eastAsia" w:ascii="仿宋_GB2312" w:eastAsia="仿宋_GB2312"/>
          <w:sz w:val="28"/>
          <w:lang w:val="en-US" w:eastAsia="zh-Hans"/>
        </w:rPr>
        <w:t>每延期一日</w:t>
      </w:r>
      <w:r>
        <w:rPr>
          <w:rFonts w:hint="default" w:ascii="仿宋_GB2312" w:eastAsia="仿宋_GB2312"/>
          <w:sz w:val="28"/>
          <w:lang w:eastAsia="zh-Hans"/>
        </w:rPr>
        <w:t>，</w:t>
      </w:r>
      <w:r>
        <w:rPr>
          <w:rFonts w:hint="eastAsia" w:ascii="仿宋_GB2312" w:eastAsia="仿宋_GB2312"/>
          <w:sz w:val="28"/>
          <w:lang w:val="en-US" w:eastAsia="zh-Hans"/>
        </w:rPr>
        <w:t>按照合同总额的</w:t>
      </w:r>
      <w:r>
        <w:rPr>
          <w:rFonts w:hint="default" w:ascii="仿宋_GB2312" w:eastAsia="仿宋_GB2312"/>
          <w:sz w:val="28"/>
          <w:lang w:eastAsia="zh-Hans"/>
        </w:rPr>
        <w:t>【 】</w:t>
      </w:r>
      <w:r>
        <w:rPr>
          <w:rFonts w:hint="eastAsia" w:ascii="仿宋_GB2312" w:eastAsia="仿宋_GB2312"/>
          <w:sz w:val="28"/>
          <w:lang w:val="en-US" w:eastAsia="zh-Hans"/>
        </w:rPr>
        <w:t>向甲方支付违约金</w:t>
      </w:r>
      <w:r>
        <w:rPr>
          <w:rFonts w:hint="default" w:ascii="仿宋_GB2312" w:eastAsia="仿宋_GB2312"/>
          <w:sz w:val="28"/>
          <w:lang w:eastAsia="zh-Hans"/>
        </w:rPr>
        <w:t>，逾期超过【 】日，甲方除要求乙方按【 】标准支付违约金外，还有权解除本合同。</w:t>
      </w:r>
      <w:r>
        <w:rPr>
          <w:rFonts w:hint="eastAsia" w:ascii="仿宋_GB2312" w:eastAsia="仿宋_GB2312"/>
          <w:sz w:val="28"/>
        </w:rPr>
        <w:t>。乙方人员应严格遵循相关安全规范及甲方之安全工作制度。乙方履约过程中，造成或发生的一切安全事故、人身、财产损害，均由乙方自行承担责任</w:t>
      </w:r>
      <w:r>
        <w:rPr>
          <w:rFonts w:hint="default" w:ascii="仿宋_GB2312" w:eastAsia="仿宋_GB2312"/>
          <w:sz w:val="28"/>
        </w:rPr>
        <w:t>，</w:t>
      </w:r>
      <w:r>
        <w:rPr>
          <w:rFonts w:hint="eastAsia" w:ascii="仿宋_GB2312" w:eastAsia="仿宋_GB2312"/>
          <w:sz w:val="28"/>
          <w:lang w:val="en-US" w:eastAsia="zh-Hans"/>
        </w:rPr>
        <w:t>甲方被要求承担或先行垫付的</w:t>
      </w:r>
      <w:r>
        <w:rPr>
          <w:rFonts w:hint="default" w:ascii="仿宋_GB2312" w:eastAsia="仿宋_GB2312"/>
          <w:sz w:val="28"/>
          <w:lang w:eastAsia="zh-Hans"/>
        </w:rPr>
        <w:t>，</w:t>
      </w:r>
      <w:r>
        <w:rPr>
          <w:rFonts w:hint="eastAsia" w:ascii="仿宋_GB2312" w:eastAsia="仿宋_GB2312"/>
          <w:sz w:val="28"/>
          <w:lang w:val="en-US" w:eastAsia="zh-Hans"/>
        </w:rPr>
        <w:t>有权向乙方全额追偿</w:t>
      </w:r>
      <w:r>
        <w:rPr>
          <w:rFonts w:hint="default" w:ascii="仿宋_GB2312" w:eastAsia="仿宋_GB2312"/>
          <w:sz w:val="28"/>
          <w:lang w:eastAsia="zh-Hans"/>
        </w:rPr>
        <w:t>，</w:t>
      </w:r>
      <w:r>
        <w:rPr>
          <w:rFonts w:hint="eastAsia" w:ascii="仿宋_GB2312" w:eastAsia="仿宋_GB2312"/>
          <w:sz w:val="28"/>
          <w:lang w:val="en-US" w:eastAsia="zh-Hans"/>
        </w:rPr>
        <w:t>追偿范围包括但不限于赔偿金</w:t>
      </w:r>
      <w:r>
        <w:rPr>
          <w:rFonts w:hint="default" w:ascii="仿宋_GB2312" w:eastAsia="仿宋_GB2312"/>
          <w:sz w:val="28"/>
          <w:lang w:eastAsia="zh-Hans"/>
        </w:rPr>
        <w:t>、</w:t>
      </w:r>
      <w:r>
        <w:rPr>
          <w:rFonts w:hint="eastAsia" w:ascii="仿宋_GB2312" w:eastAsia="仿宋_GB2312"/>
          <w:sz w:val="28"/>
          <w:lang w:val="en-US" w:eastAsia="zh-Hans"/>
        </w:rPr>
        <w:t>罚款</w:t>
      </w:r>
      <w:r>
        <w:rPr>
          <w:rFonts w:hint="default" w:ascii="仿宋_GB2312" w:eastAsia="仿宋_GB2312"/>
          <w:sz w:val="28"/>
          <w:lang w:eastAsia="zh-Hans"/>
        </w:rPr>
        <w:t>、</w:t>
      </w:r>
      <w:r>
        <w:rPr>
          <w:rFonts w:hint="eastAsia" w:ascii="仿宋_GB2312" w:eastAsia="仿宋_GB2312"/>
          <w:sz w:val="28"/>
          <w:lang w:val="en-US" w:eastAsia="zh-Hans"/>
        </w:rPr>
        <w:t>诉讼费</w:t>
      </w:r>
      <w:r>
        <w:rPr>
          <w:rFonts w:hint="default" w:ascii="仿宋_GB2312" w:eastAsia="仿宋_GB2312"/>
          <w:sz w:val="28"/>
          <w:lang w:eastAsia="zh-Hans"/>
        </w:rPr>
        <w:t>、</w:t>
      </w:r>
      <w:r>
        <w:rPr>
          <w:rFonts w:hint="eastAsia" w:ascii="仿宋_GB2312" w:eastAsia="仿宋_GB2312"/>
          <w:sz w:val="28"/>
          <w:lang w:val="en-US" w:eastAsia="zh-Hans"/>
        </w:rPr>
        <w:t>保全费</w:t>
      </w:r>
      <w:r>
        <w:rPr>
          <w:rFonts w:hint="default" w:ascii="仿宋_GB2312" w:eastAsia="仿宋_GB2312"/>
          <w:sz w:val="28"/>
          <w:lang w:eastAsia="zh-Hans"/>
        </w:rPr>
        <w:t>、</w:t>
      </w:r>
      <w:r>
        <w:rPr>
          <w:rFonts w:hint="eastAsia" w:ascii="仿宋_GB2312" w:eastAsia="仿宋_GB2312"/>
          <w:sz w:val="28"/>
          <w:lang w:val="en-US" w:eastAsia="zh-Hans"/>
        </w:rPr>
        <w:t>律师费</w:t>
      </w:r>
      <w:r>
        <w:rPr>
          <w:rFonts w:hint="default" w:ascii="仿宋_GB2312" w:eastAsia="仿宋_GB2312"/>
          <w:sz w:val="28"/>
          <w:lang w:eastAsia="zh-Hans"/>
        </w:rPr>
        <w:t>、</w:t>
      </w:r>
      <w:r>
        <w:rPr>
          <w:rFonts w:hint="eastAsia" w:ascii="仿宋_GB2312" w:eastAsia="仿宋_GB2312"/>
          <w:sz w:val="28"/>
          <w:lang w:val="en-US" w:eastAsia="zh-Hans"/>
        </w:rPr>
        <w:t>差旅费等</w:t>
      </w:r>
      <w:r>
        <w:rPr>
          <w:rFonts w:hint="eastAsia" w:ascii="仿宋_GB2312" w:eastAsia="仿宋_GB2312"/>
          <w:sz w:val="28"/>
        </w:rPr>
        <w:t>。</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eastAsia="仿宋_GB2312"/>
          <w:sz w:val="28"/>
        </w:rPr>
        <w:t>乙方应严格按照《建筑物防雷</w:t>
      </w:r>
      <w:r>
        <w:rPr>
          <w:rFonts w:hint="eastAsia" w:ascii="仿宋_GB2312" w:eastAsia="仿宋_GB2312"/>
          <w:sz w:val="28"/>
          <w:lang w:val="en-US" w:eastAsia="zh-CN"/>
        </w:rPr>
        <w:t>检测技术</w:t>
      </w:r>
      <w:r>
        <w:rPr>
          <w:rFonts w:hint="eastAsia" w:ascii="仿宋_GB2312" w:eastAsia="仿宋_GB2312"/>
          <w:sz w:val="28"/>
        </w:rPr>
        <w:t>规范》GB/T</w:t>
      </w:r>
      <w:r>
        <w:rPr>
          <w:rFonts w:hint="eastAsia" w:ascii="仿宋_GB2312" w:eastAsia="仿宋_GB2312"/>
          <w:sz w:val="28"/>
          <w:lang w:val="en-US" w:eastAsia="zh-CN"/>
        </w:rPr>
        <w:t>21431</w:t>
      </w:r>
      <w:r>
        <w:rPr>
          <w:rFonts w:hint="eastAsia" w:ascii="仿宋_GB2312" w:eastAsia="仿宋_GB2312"/>
          <w:sz w:val="28"/>
        </w:rPr>
        <w:t>-201</w:t>
      </w:r>
      <w:r>
        <w:rPr>
          <w:rFonts w:hint="eastAsia" w:ascii="仿宋_GB2312" w:eastAsia="仿宋_GB2312"/>
          <w:sz w:val="28"/>
          <w:lang w:val="en-US" w:eastAsia="zh-CN"/>
        </w:rPr>
        <w:t>5</w:t>
      </w:r>
      <w:r>
        <w:rPr>
          <w:rFonts w:hint="eastAsia" w:ascii="仿宋_GB2312" w:eastAsia="仿宋_GB2312"/>
          <w:sz w:val="28"/>
        </w:rPr>
        <w:t>等的规定，对防雷装置进行检测，对项目的检测质量依法承担相应责任。</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w:t>
      </w:r>
      <w:r>
        <w:rPr>
          <w:rFonts w:hint="eastAsia" w:ascii="仿宋_GB2312" w:eastAsia="仿宋_GB2312"/>
          <w:sz w:val="28"/>
        </w:rPr>
        <w:t>检测工作结束后，乙方向甲方</w:t>
      </w:r>
      <w:r>
        <w:rPr>
          <w:rFonts w:hint="eastAsia" w:ascii="仿宋_GB2312" w:eastAsia="仿宋_GB2312"/>
          <w:sz w:val="28"/>
          <w:lang w:val="en-US" w:eastAsia="zh-CN"/>
        </w:rPr>
        <w:t>提供</w:t>
      </w:r>
      <w:r>
        <w:rPr>
          <w:rFonts w:hint="eastAsia" w:ascii="仿宋_GB2312" w:eastAsia="仿宋_GB2312"/>
          <w:sz w:val="28"/>
        </w:rPr>
        <w:t>具备法定效力及符合相关主管部门要求的</w:t>
      </w:r>
      <w:r>
        <w:rPr>
          <w:rFonts w:hint="eastAsia" w:ascii="仿宋_GB2312" w:eastAsia="仿宋_GB2312"/>
          <w:sz w:val="28"/>
          <w:lang w:eastAsia="zh-CN"/>
        </w:rPr>
        <w:t>《</w:t>
      </w:r>
      <w:r>
        <w:rPr>
          <w:rFonts w:hint="eastAsia" w:ascii="仿宋_GB2312" w:eastAsia="仿宋_GB2312"/>
          <w:sz w:val="28"/>
          <w:lang w:val="en-US" w:eastAsia="zh-CN"/>
        </w:rPr>
        <w:t>防雷装置检测报告</w:t>
      </w:r>
      <w:r>
        <w:rPr>
          <w:rFonts w:hint="eastAsia" w:ascii="仿宋_GB2312" w:eastAsia="仿宋_GB2312"/>
          <w:sz w:val="28"/>
          <w:lang w:eastAsia="zh-CN"/>
        </w:rPr>
        <w:t>》</w:t>
      </w:r>
      <w:r>
        <w:rPr>
          <w:rFonts w:hint="eastAsia" w:ascii="仿宋_GB2312" w:eastAsia="仿宋_GB2312"/>
          <w:sz w:val="28"/>
        </w:rPr>
        <w:t>，并应根据相关技术规范要求，针对检测结果提出整改意见和建议，</w:t>
      </w:r>
      <w:r>
        <w:rPr>
          <w:rFonts w:hint="eastAsia" w:ascii="仿宋_GB2312" w:eastAsia="仿宋_GB2312"/>
          <w:color w:val="000000"/>
          <w:sz w:val="28"/>
        </w:rPr>
        <w:t>协助甲方的整改工作。</w:t>
      </w:r>
    </w:p>
    <w:p>
      <w:pPr>
        <w:spacing w:before="184" w:line="480" w:lineRule="exact"/>
        <w:ind w:right="97" w:firstLine="554" w:firstLineChars="219"/>
        <w:rPr>
          <w:rFonts w:ascii="宋体" w:hAnsi="宋体" w:eastAsia="宋体" w:cs="宋体"/>
          <w:b/>
          <w:bCs/>
          <w:spacing w:val="5"/>
          <w:sz w:val="24"/>
        </w:rPr>
      </w:pPr>
      <w:r>
        <w:rPr>
          <w:rFonts w:hint="eastAsia" w:ascii="宋体" w:hAnsi="宋体" w:eastAsia="宋体" w:cs="宋体"/>
          <w:b/>
          <w:bCs/>
          <w:spacing w:val="6"/>
          <w:sz w:val="24"/>
          <w:lang w:eastAsia="zh-CN"/>
        </w:rPr>
        <w:t>三、</w:t>
      </w:r>
      <w:r>
        <w:rPr>
          <w:rFonts w:hint="eastAsia" w:ascii="仿宋_GB2312" w:hAnsi="仿宋_GB2312" w:eastAsia="仿宋_GB2312" w:cs="仿宋_GB2312"/>
          <w:b/>
          <w:bCs/>
          <w:sz w:val="28"/>
          <w:szCs w:val="28"/>
        </w:rPr>
        <w:t>违约责任</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hint="eastAsia" w:ascii="仿宋_GB2312" w:eastAsia="仿宋_GB2312"/>
          <w:sz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w:t>
      </w:r>
      <w:r>
        <w:rPr>
          <w:rFonts w:hint="eastAsia" w:ascii="仿宋_GB2312" w:eastAsia="仿宋_GB2312"/>
          <w:sz w:val="28"/>
        </w:rPr>
        <w:t>任何一方违反本合同约定，应赔偿因此给对方造成的损失。</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w:t>
      </w:r>
      <w:r>
        <w:rPr>
          <w:rFonts w:hint="eastAsia" w:ascii="仿宋_GB2312" w:eastAsia="仿宋_GB2312"/>
          <w:sz w:val="28"/>
        </w:rPr>
        <w:t>检测过程中双方发生争议、违约事件，双方平等友好协商解决。</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w:t>
      </w:r>
      <w:r>
        <w:rPr>
          <w:rFonts w:hint="eastAsia" w:ascii="仿宋_GB2312" w:eastAsia="仿宋_GB2312"/>
          <w:sz w:val="28"/>
        </w:rPr>
        <w:t>如双方协商不能解决争议及违约事宜，通过法律程序解决，向本合同</w:t>
      </w:r>
      <w:r>
        <w:rPr>
          <w:rFonts w:hint="eastAsia" w:ascii="仿宋_GB2312" w:eastAsia="仿宋_GB2312"/>
          <w:sz w:val="28"/>
          <w:lang w:val="en-US" w:eastAsia="zh-CN"/>
        </w:rPr>
        <w:t>甲方</w:t>
      </w:r>
      <w:r>
        <w:rPr>
          <w:rFonts w:hint="eastAsia" w:ascii="仿宋_GB2312" w:eastAsia="仿宋_GB2312"/>
          <w:sz w:val="28"/>
        </w:rPr>
        <w:t>所在地人民法院起诉。</w:t>
      </w:r>
    </w:p>
    <w:p>
      <w:pPr>
        <w:pStyle w:val="11"/>
        <w:keepNext w:val="0"/>
        <w:keepLines w:val="0"/>
        <w:pageBreakBefore w:val="0"/>
        <w:widowControl w:val="0"/>
        <w:kinsoku/>
        <w:wordWrap/>
        <w:overflowPunct/>
        <w:topLinePunct w:val="0"/>
        <w:bidi w:val="0"/>
        <w:adjustRightInd/>
        <w:spacing w:line="520" w:lineRule="exact"/>
        <w:ind w:left="0" w:leftChars="0" w:firstLine="641" w:firstLineChars="228"/>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、支付条件及支付方式</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w:t>
      </w:r>
      <w:r>
        <w:rPr>
          <w:rFonts w:hint="eastAsia" w:ascii="仿宋_GB2312" w:eastAsia="仿宋_GB2312"/>
          <w:sz w:val="28"/>
        </w:rPr>
        <w:t>检测工作完成且乙方向甲方提供符合合同约定的《防雷装置检测报告》并经甲方确认并验收点位后，甲方向乙方全额支付实际检测费</w:t>
      </w:r>
      <w:r>
        <w:rPr>
          <w:rFonts w:hint="eastAsia" w:ascii="仿宋_GB2312" w:hAnsi="Times New Roman" w:eastAsia="仿宋_GB2312" w:cs="Times New Roman"/>
          <w:sz w:val="28"/>
          <w:u w:val="single"/>
          <w:lang w:val="en-US" w:eastAsia="zh-CN"/>
        </w:rPr>
        <w:t>共计：</w:t>
      </w:r>
      <w:r>
        <w:rPr>
          <w:rFonts w:hint="default" w:ascii="仿宋_GB2312" w:hAnsi="Times New Roman" w:eastAsia="仿宋_GB2312" w:cs="Times New Roman"/>
          <w:sz w:val="28"/>
          <w:u w:val="single"/>
          <w:lang w:val="en-US" w:eastAsia="zh-CN"/>
        </w:rPr>
        <w:t>¥</w:t>
      </w:r>
      <w:r>
        <w:rPr>
          <w:rFonts w:hint="eastAsia" w:ascii="仿宋_GB2312" w:eastAsia="仿宋_GB2312" w:cs="Times New Roman"/>
          <w:sz w:val="28"/>
          <w:u w:val="single"/>
          <w:lang w:val="en-US" w:eastAsia="zh-CN"/>
        </w:rPr>
        <w:t xml:space="preserve">   </w:t>
      </w:r>
      <w:r>
        <w:rPr>
          <w:rFonts w:hint="eastAsia" w:ascii="仿宋_GB2312" w:eastAsia="仿宋_GB2312"/>
          <w:sz w:val="28"/>
        </w:rPr>
        <w:t>元（大写：</w:t>
      </w:r>
      <w:r>
        <w:rPr>
          <w:rFonts w:hint="eastAsia" w:ascii="仿宋_GB2312" w:eastAsia="仿宋_GB2312"/>
          <w:sz w:val="28"/>
          <w:u w:val="single"/>
          <w:lang w:val="en-US" w:eastAsia="zh-CN"/>
        </w:rPr>
        <w:t xml:space="preserve">     </w:t>
      </w:r>
      <w:r>
        <w:rPr>
          <w:rFonts w:hint="eastAsia" w:ascii="仿宋_GB2312" w:eastAsia="仿宋_GB2312"/>
          <w:sz w:val="28"/>
        </w:rPr>
        <w:t>）</w:t>
      </w:r>
      <w:r>
        <w:rPr>
          <w:rFonts w:hint="default" w:ascii="仿宋_GB2312" w:eastAsia="仿宋_GB2312"/>
          <w:sz w:val="28"/>
        </w:rPr>
        <w:t>（</w:t>
      </w:r>
      <w:r>
        <w:rPr>
          <w:rFonts w:hint="eastAsia" w:ascii="仿宋_GB2312" w:eastAsia="仿宋_GB2312"/>
          <w:sz w:val="28"/>
          <w:lang w:val="en-US" w:eastAsia="zh-Hans"/>
        </w:rPr>
        <w:t>含税价</w:t>
      </w:r>
      <w:r>
        <w:rPr>
          <w:rFonts w:hint="default" w:ascii="仿宋_GB2312" w:eastAsia="仿宋_GB2312"/>
          <w:sz w:val="28"/>
          <w:lang w:eastAsia="zh-Hans"/>
        </w:rPr>
        <w:t>）</w:t>
      </w:r>
      <w:r>
        <w:rPr>
          <w:rFonts w:hint="eastAsia" w:ascii="仿宋_GB2312" w:eastAsia="仿宋_GB2312"/>
          <w:sz w:val="28"/>
        </w:rPr>
        <w:t>。</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.2支付方式</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甲方以电汇或转账的方式将合同价款支付至乙方指定的银行账户中。甲方每次付款前，乙方应向甲方出具国家税务机关认可的发票，否则甲方有权拒绝付款并不承担违约责任。</w:t>
      </w:r>
    </w:p>
    <w:p>
      <w:pPr>
        <w:keepNext w:val="0"/>
        <w:keepLines w:val="0"/>
        <w:pageBreakBefore w:val="0"/>
        <w:widowControl w:val="0"/>
        <w:numPr>
          <w:ilvl w:val="0"/>
          <w:numId w:val="0"/>
        </w:numPr>
        <w:tabs>
          <w:tab w:val="left" w:pos="426"/>
        </w:tabs>
        <w:kinsoku/>
        <w:wordWrap/>
        <w:overflowPunct/>
        <w:topLinePunct w:val="0"/>
        <w:bidi w:val="0"/>
        <w:adjustRightInd/>
        <w:snapToGrid w:val="0"/>
        <w:spacing w:line="520" w:lineRule="exact"/>
        <w:ind w:left="426" w:leftChars="0"/>
        <w:textAlignment w:val="auto"/>
        <w:rPr>
          <w:rFonts w:hint="eastAsia"/>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.3</w:t>
      </w:r>
      <w:r>
        <w:rPr>
          <w:rFonts w:hint="eastAsia" w:ascii="仿宋_GB2312" w:hAnsi="仿宋_GB2312" w:eastAsia="仿宋_GB2312" w:cs="仿宋_GB2312"/>
          <w:kern w:val="2"/>
          <w:sz w:val="28"/>
          <w:szCs w:val="28"/>
          <w:lang w:val="en-US" w:eastAsia="zh-CN" w:bidi="ar-SA"/>
        </w:rPr>
        <w:t>开票信息：(注意：开票时请把公司的信息填写完整)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906" w:type="dxa"/>
            <w:noWrap w:val="0"/>
            <w:vAlign w:val="center"/>
          </w:tcPr>
          <w:p>
            <w:pPr>
              <w:keepNext w:val="0"/>
              <w:keepLines w:val="0"/>
              <w:pageBreakBefore w:val="0"/>
              <w:widowControl w:val="0"/>
              <w:numPr>
                <w:ilvl w:val="0"/>
                <w:numId w:val="0"/>
              </w:numPr>
              <w:tabs>
                <w:tab w:val="left" w:pos="426"/>
              </w:tabs>
              <w:kinsoku/>
              <w:wordWrap/>
              <w:overflowPunct/>
              <w:topLinePunct w:val="0"/>
              <w:bidi w:val="0"/>
              <w:adjustRightInd/>
              <w:snapToGrid w:val="0"/>
              <w:spacing w:line="520" w:lineRule="exact"/>
              <w:ind w:left="6" w:leftChars="0" w:hanging="6"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单位名称</w:t>
            </w:r>
          </w:p>
        </w:tc>
        <w:tc>
          <w:tcPr>
            <w:tcW w:w="7021" w:type="dxa"/>
            <w:noWrap w:val="0"/>
            <w:vAlign w:val="center"/>
          </w:tcPr>
          <w:p>
            <w:pPr>
              <w:keepNext w:val="0"/>
              <w:keepLines w:val="0"/>
              <w:pageBreakBefore w:val="0"/>
              <w:widowControl w:val="0"/>
              <w:numPr>
                <w:ilvl w:val="0"/>
                <w:numId w:val="0"/>
              </w:numPr>
              <w:tabs>
                <w:tab w:val="left" w:pos="0"/>
              </w:tabs>
              <w:kinsoku/>
              <w:wordWrap/>
              <w:overflowPunct/>
              <w:topLinePunct w:val="0"/>
              <w:bidi w:val="0"/>
              <w:adjustRightInd/>
              <w:snapToGrid w:val="0"/>
              <w:spacing w:line="520" w:lineRule="exact"/>
              <w:ind w:left="0" w:leftChars="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四川秦巴高速公路有限责任公司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6" w:type="dxa"/>
            <w:noWrap w:val="0"/>
            <w:vAlign w:val="center"/>
          </w:tcPr>
          <w:p>
            <w:pPr>
              <w:keepNext w:val="0"/>
              <w:keepLines w:val="0"/>
              <w:pageBreakBefore w:val="0"/>
              <w:widowControl w:val="0"/>
              <w:numPr>
                <w:ilvl w:val="0"/>
                <w:numId w:val="0"/>
              </w:numPr>
              <w:tabs>
                <w:tab w:val="left" w:pos="426"/>
              </w:tabs>
              <w:kinsoku/>
              <w:wordWrap/>
              <w:overflowPunct/>
              <w:topLinePunct w:val="0"/>
              <w:bidi w:val="0"/>
              <w:adjustRightInd/>
              <w:snapToGrid w:val="0"/>
              <w:spacing w:line="520" w:lineRule="exact"/>
              <w:ind w:left="6" w:leftChars="0" w:hanging="6"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纳税人识别号</w:t>
            </w:r>
          </w:p>
        </w:tc>
        <w:tc>
          <w:tcPr>
            <w:tcW w:w="7021" w:type="dxa"/>
            <w:noWrap w:val="0"/>
            <w:vAlign w:val="center"/>
          </w:tcPr>
          <w:p>
            <w:pPr>
              <w:keepNext w:val="0"/>
              <w:keepLines w:val="0"/>
              <w:pageBreakBefore w:val="0"/>
              <w:widowControl w:val="0"/>
              <w:numPr>
                <w:ilvl w:val="0"/>
                <w:numId w:val="0"/>
              </w:numPr>
              <w:tabs>
                <w:tab w:val="left" w:pos="0"/>
              </w:tabs>
              <w:kinsoku/>
              <w:wordWrap/>
              <w:overflowPunct/>
              <w:topLinePunct w:val="0"/>
              <w:bidi w:val="0"/>
              <w:adjustRightInd/>
              <w:snapToGrid w:val="0"/>
              <w:spacing w:line="520" w:lineRule="exact"/>
              <w:ind w:left="0" w:leftChars="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9151000068993809X1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06" w:type="dxa"/>
            <w:noWrap w:val="0"/>
            <w:vAlign w:val="center"/>
          </w:tcPr>
          <w:p>
            <w:pPr>
              <w:keepNext w:val="0"/>
              <w:keepLines w:val="0"/>
              <w:pageBreakBefore w:val="0"/>
              <w:widowControl w:val="0"/>
              <w:numPr>
                <w:ilvl w:val="0"/>
                <w:numId w:val="0"/>
              </w:numPr>
              <w:tabs>
                <w:tab w:val="left" w:pos="426"/>
              </w:tabs>
              <w:kinsoku/>
              <w:wordWrap/>
              <w:overflowPunct/>
              <w:topLinePunct w:val="0"/>
              <w:bidi w:val="0"/>
              <w:adjustRightInd/>
              <w:snapToGrid w:val="0"/>
              <w:spacing w:line="520" w:lineRule="exact"/>
              <w:ind w:left="6" w:leftChars="0" w:hanging="6"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地址、电话</w:t>
            </w:r>
          </w:p>
        </w:tc>
        <w:tc>
          <w:tcPr>
            <w:tcW w:w="7021" w:type="dxa"/>
            <w:noWrap w:val="0"/>
            <w:vAlign w:val="center"/>
          </w:tcPr>
          <w:p>
            <w:pPr>
              <w:keepNext w:val="0"/>
              <w:keepLines w:val="0"/>
              <w:pageBreakBefore w:val="0"/>
              <w:widowControl w:val="0"/>
              <w:numPr>
                <w:ilvl w:val="0"/>
                <w:numId w:val="0"/>
              </w:numPr>
              <w:tabs>
                <w:tab w:val="left" w:pos="0"/>
              </w:tabs>
              <w:kinsoku/>
              <w:wordWrap/>
              <w:overflowPunct/>
              <w:topLinePunct w:val="0"/>
              <w:bidi w:val="0"/>
              <w:adjustRightInd/>
              <w:snapToGrid w:val="0"/>
              <w:spacing w:line="520" w:lineRule="exact"/>
              <w:ind w:left="0" w:leftChars="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成都市武侯区二环路西一段90号四川高速大厦5楼B501-504 028-85263090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06" w:type="dxa"/>
            <w:noWrap w:val="0"/>
            <w:vAlign w:val="center"/>
          </w:tcPr>
          <w:p>
            <w:pPr>
              <w:keepNext w:val="0"/>
              <w:keepLines w:val="0"/>
              <w:pageBreakBefore w:val="0"/>
              <w:widowControl w:val="0"/>
              <w:numPr>
                <w:ilvl w:val="0"/>
                <w:numId w:val="0"/>
              </w:numPr>
              <w:tabs>
                <w:tab w:val="left" w:pos="426"/>
              </w:tabs>
              <w:kinsoku/>
              <w:wordWrap/>
              <w:overflowPunct/>
              <w:topLinePunct w:val="0"/>
              <w:bidi w:val="0"/>
              <w:adjustRightInd/>
              <w:snapToGrid w:val="0"/>
              <w:spacing w:line="520" w:lineRule="exact"/>
              <w:ind w:left="6" w:leftChars="0" w:hanging="6"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开户银行及账号</w:t>
            </w:r>
          </w:p>
        </w:tc>
        <w:tc>
          <w:tcPr>
            <w:tcW w:w="7021" w:type="dxa"/>
            <w:noWrap w:val="0"/>
            <w:vAlign w:val="center"/>
          </w:tcPr>
          <w:p>
            <w:pPr>
              <w:keepNext w:val="0"/>
              <w:keepLines w:val="0"/>
              <w:pageBreakBefore w:val="0"/>
              <w:widowControl w:val="0"/>
              <w:numPr>
                <w:ilvl w:val="0"/>
                <w:numId w:val="0"/>
              </w:numPr>
              <w:tabs>
                <w:tab w:val="left" w:pos="0"/>
              </w:tabs>
              <w:kinsoku/>
              <w:wordWrap/>
              <w:overflowPunct/>
              <w:topLinePunct w:val="0"/>
              <w:bidi w:val="0"/>
              <w:adjustRightInd/>
              <w:snapToGrid w:val="0"/>
              <w:spacing w:line="520" w:lineRule="exact"/>
              <w:ind w:left="0" w:leftChars="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中国银行股份有限公司成都成华支行130654886795</w:t>
            </w:r>
          </w:p>
        </w:tc>
      </w:tr>
    </w:tbl>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如果甲方在上述期限内未能付款，则甲方应按同期甲方开户银行活期存款利率向乙方支付全部未付款额的利息，付息时间从应付而未付该款额之日算起（不计复利）。</w:t>
      </w:r>
    </w:p>
    <w:p>
      <w:pPr>
        <w:pStyle w:val="11"/>
        <w:keepNext w:val="0"/>
        <w:keepLines w:val="0"/>
        <w:pageBreakBefore w:val="0"/>
        <w:widowControl w:val="0"/>
        <w:kinsoku/>
        <w:wordWrap/>
        <w:overflowPunct/>
        <w:topLinePunct w:val="0"/>
        <w:bidi w:val="0"/>
        <w:adjustRightInd/>
        <w:spacing w:line="520" w:lineRule="exact"/>
        <w:ind w:left="0" w:leftChars="0" w:firstLine="495" w:firstLineChars="177"/>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.4甲方有权从任何一笔支付款额中扣除根据合同约定乙方应支付的违约金和赔偿金。</w:t>
      </w:r>
    </w:p>
    <w:p>
      <w:pPr>
        <w:numPr>
          <w:ilvl w:val="0"/>
          <w:numId w:val="0"/>
        </w:numPr>
        <w:spacing w:before="181" w:line="480" w:lineRule="exact"/>
        <w:ind w:left="0" w:leftChars="0" w:right="87" w:rightChars="0" w:firstLine="637" w:firstLineChars="217"/>
        <w:jc w:val="left"/>
        <w:rPr>
          <w:rFonts w:hint="eastAsia" w:ascii="仿宋_GB2312" w:hAnsi="仿宋_GB2312" w:eastAsia="仿宋_GB2312" w:cs="仿宋_GB2312"/>
          <w:kern w:val="2"/>
          <w:sz w:val="28"/>
          <w:szCs w:val="28"/>
          <w:lang w:val="en-US" w:eastAsia="zh-CN" w:bidi="ar-SA"/>
        </w:rPr>
      </w:pPr>
      <w:r>
        <w:rPr>
          <w:rFonts w:hint="eastAsia" w:ascii="宋体" w:hAnsi="宋体" w:eastAsia="宋体" w:cs="宋体"/>
          <w:spacing w:val="27"/>
          <w:sz w:val="24"/>
          <w:lang w:eastAsia="zh-CN"/>
        </w:rPr>
        <w:t>五、</w:t>
      </w:r>
      <w:r>
        <w:rPr>
          <w:rFonts w:hint="eastAsia" w:ascii="仿宋_GB2312" w:hAnsi="仿宋_GB2312" w:eastAsia="仿宋_GB2312" w:cs="仿宋_GB2312"/>
          <w:kern w:val="2"/>
          <w:sz w:val="28"/>
          <w:szCs w:val="28"/>
          <w:lang w:val="en-US" w:eastAsia="zh-CN" w:bidi="ar-SA"/>
        </w:rPr>
        <w:t>本协议一式捌份，甲方持陆份，乙方持贰份，具有同等法律效力，经双方盖章签字生效。</w:t>
      </w:r>
    </w:p>
    <w:p>
      <w:pPr>
        <w:pStyle w:val="11"/>
        <w:ind w:left="0" w:leftChars="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六、因本协议履行产生争议的，双方均同意向甲方所在地人民法院提起诉讼。</w:t>
      </w:r>
    </w:p>
    <w:tbl>
      <w:tblPr>
        <w:tblStyle w:val="13"/>
        <w:tblW w:w="5403" w:type="pct"/>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39"/>
        <w:gridCol w:w="5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83" w:type="pct"/>
          </w:tcPr>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甲方：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（盖单位章）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法定代表人或其委托代理人：    （签字）    </w:t>
            </w:r>
          </w:p>
          <w:p>
            <w:pPr>
              <w:spacing w:line="360" w:lineRule="auto"/>
              <w:rPr>
                <w:rFonts w:hint="eastAsia" w:ascii="仿宋_GB2312" w:hAnsi="仿宋_GB2312" w:eastAsia="仿宋_GB2312" w:cs="仿宋_GB2312"/>
                <w:kern w:val="2"/>
                <w:sz w:val="28"/>
                <w:szCs w:val="28"/>
                <w:lang w:val="en-US" w:eastAsia="zh-CN" w:bidi="ar-SA"/>
              </w:rPr>
            </w:pP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开户行：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账号：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经办人：龚建瑞</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年    月    日</w:t>
            </w:r>
          </w:p>
        </w:tc>
        <w:tc>
          <w:tcPr>
            <w:tcW w:w="2516" w:type="pct"/>
          </w:tcPr>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乙方：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（盖单位章）</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法定代表人或其委托代理人：    （签字）                                    </w:t>
            </w:r>
          </w:p>
          <w:p>
            <w:pPr>
              <w:spacing w:line="360" w:lineRule="auto"/>
              <w:rPr>
                <w:rFonts w:hint="eastAsia" w:ascii="仿宋_GB2312" w:hAnsi="仿宋_GB2312" w:eastAsia="仿宋_GB2312" w:cs="仿宋_GB2312"/>
                <w:kern w:val="2"/>
                <w:sz w:val="28"/>
                <w:szCs w:val="28"/>
                <w:lang w:val="en-US" w:eastAsia="zh-CN" w:bidi="ar-SA"/>
              </w:rPr>
            </w:pP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开户行：             </w:t>
            </w:r>
          </w:p>
          <w:p>
            <w:pPr>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账号：               </w:t>
            </w:r>
          </w:p>
          <w:p>
            <w:pPr>
              <w:spacing w:line="360" w:lineRule="auto"/>
              <w:rPr>
                <w:rFonts w:hint="eastAsia" w:ascii="仿宋_GB2312" w:hAnsi="仿宋_GB2312" w:eastAsia="仿宋_GB2312" w:cs="仿宋_GB2312"/>
                <w:kern w:val="2"/>
                <w:sz w:val="28"/>
                <w:szCs w:val="28"/>
                <w:lang w:val="en-US" w:eastAsia="zh-CN" w:bidi="ar-SA"/>
              </w:rPr>
            </w:pPr>
          </w:p>
          <w:p>
            <w:pPr>
              <w:spacing w:line="360" w:lineRule="auto"/>
              <w:rPr>
                <w:rFonts w:hAnsi="宋体"/>
                <w:sz w:val="24"/>
              </w:rPr>
            </w:pPr>
            <w:r>
              <w:rPr>
                <w:rFonts w:hint="eastAsia" w:ascii="仿宋_GB2312" w:hAnsi="仿宋_GB2312" w:eastAsia="仿宋_GB2312" w:cs="仿宋_GB2312"/>
                <w:kern w:val="2"/>
                <w:sz w:val="28"/>
                <w:szCs w:val="28"/>
                <w:lang w:val="en-US" w:eastAsia="zh-CN" w:bidi="ar-SA"/>
              </w:rPr>
              <w:t xml:space="preserve">      年    月    日</w:t>
            </w:r>
          </w:p>
        </w:tc>
      </w:tr>
    </w:tbl>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pStyle w:val="11"/>
        <w:ind w:left="0" w:leftChars="0" w:firstLine="638" w:firstLineChars="228"/>
        <w:rPr>
          <w:rFonts w:hint="default"/>
          <w:sz w:val="28"/>
          <w:szCs w:val="28"/>
          <w:lang w:val="en-US" w:eastAsia="zh-CN"/>
        </w:rPr>
      </w:pPr>
    </w:p>
    <w:p>
      <w:pPr>
        <w:keepNext/>
        <w:keepLines/>
        <w:numPr>
          <w:ilvl w:val="0"/>
          <w:numId w:val="1"/>
        </w:numPr>
        <w:spacing w:before="340" w:after="330" w:line="560" w:lineRule="exact"/>
        <w:jc w:val="center"/>
        <w:outlineLvl w:val="0"/>
        <w:rPr>
          <w:rFonts w:hint="eastAsia" w:asciiTheme="majorEastAsia" w:hAnsiTheme="majorEastAsia" w:eastAsiaTheme="majorEastAsia" w:cstheme="majorEastAsia"/>
          <w:b/>
          <w:bCs w:val="0"/>
          <w:color w:val="000000"/>
          <w:kern w:val="44"/>
          <w:sz w:val="36"/>
          <w:szCs w:val="36"/>
          <w:lang w:val="en-US" w:eastAsia="zh-CN"/>
        </w:rPr>
      </w:pPr>
      <w:bookmarkStart w:id="6" w:name="_Toc31286"/>
      <w:r>
        <w:rPr>
          <w:rFonts w:hint="eastAsia" w:asciiTheme="majorEastAsia" w:hAnsiTheme="majorEastAsia" w:eastAsiaTheme="majorEastAsia" w:cstheme="majorEastAsia"/>
          <w:b/>
          <w:bCs w:val="0"/>
          <w:color w:val="000000"/>
          <w:kern w:val="44"/>
          <w:sz w:val="36"/>
          <w:szCs w:val="36"/>
          <w:lang w:val="en-US" w:eastAsia="zh-CN"/>
        </w:rPr>
        <w:t>比选申请文件格式</w:t>
      </w:r>
      <w:bookmarkEnd w:id="6"/>
    </w:p>
    <w:p>
      <w:pPr>
        <w:pStyle w:val="11"/>
        <w:rPr>
          <w:rFonts w:hint="eastAsia"/>
          <w:lang w:val="en-US" w:eastAsia="zh-CN"/>
        </w:rPr>
      </w:pPr>
    </w:p>
    <w:p>
      <w:pPr>
        <w:jc w:val="right"/>
        <w:rPr>
          <w:rFonts w:ascii="仿宋" w:hAnsi="仿宋" w:eastAsia="仿宋" w:cs="宋体"/>
          <w:b/>
          <w:bCs/>
          <w:bdr w:val="single" w:color="auto" w:sz="4" w:space="0"/>
        </w:rPr>
      </w:pPr>
      <w:r>
        <w:rPr>
          <w:rFonts w:hint="eastAsia" w:ascii="仿宋" w:hAnsi="仿宋" w:eastAsia="仿宋" w:cs="宋体"/>
          <w:b/>
          <w:bCs/>
          <w:bdr w:val="single" w:color="auto" w:sz="4" w:space="0"/>
        </w:rPr>
        <w:t>正本/副本</w:t>
      </w:r>
    </w:p>
    <w:p>
      <w:pPr>
        <w:spacing w:line="400" w:lineRule="exact"/>
        <w:jc w:val="cente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四川秦巴高速公路有限责任公司</w:t>
      </w:r>
    </w:p>
    <w:p>
      <w:pPr>
        <w:jc w:val="center"/>
        <w:rPr>
          <w:rFonts w:hint="eastAsia" w:ascii="仿宋" w:hAnsi="仿宋" w:eastAsia="仿宋" w:cs="仿宋"/>
          <w:b/>
          <w:bCs/>
          <w:sz w:val="44"/>
          <w:szCs w:val="44"/>
        </w:rPr>
      </w:pPr>
      <w:r>
        <w:rPr>
          <w:rFonts w:hint="eastAsia" w:ascii="仿宋" w:hAnsi="仿宋" w:eastAsia="仿宋" w:cs="仿宋"/>
          <w:b/>
          <w:bCs/>
          <w:sz w:val="44"/>
          <w:szCs w:val="44"/>
        </w:rPr>
        <w:t>2024年度防雷接地检测项目</w:t>
      </w:r>
    </w:p>
    <w:p>
      <w:pPr>
        <w:spacing w:line="400" w:lineRule="exact"/>
        <w:jc w:val="center"/>
        <w:rPr>
          <w:rFonts w:ascii="仿宋" w:hAnsi="仿宋" w:eastAsia="仿宋"/>
          <w:b/>
          <w:bCs/>
          <w:sz w:val="44"/>
          <w:szCs w:val="44"/>
        </w:rPr>
      </w:pPr>
    </w:p>
    <w:p>
      <w:pPr>
        <w:pStyle w:val="4"/>
        <w:rPr>
          <w:rFonts w:ascii="仿宋" w:hAnsi="仿宋" w:eastAsia="仿宋"/>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spacing w:line="400" w:lineRule="exact"/>
        <w:jc w:val="center"/>
        <w:rPr>
          <w:rFonts w:ascii="仿宋" w:hAnsi="仿宋" w:eastAsia="仿宋" w:cs="宋体"/>
          <w:b/>
          <w:bCs/>
          <w:sz w:val="44"/>
          <w:szCs w:val="44"/>
        </w:rPr>
      </w:pPr>
    </w:p>
    <w:p>
      <w:pPr>
        <w:tabs>
          <w:tab w:val="left" w:pos="2800"/>
          <w:tab w:val="left" w:pos="3860"/>
          <w:tab w:val="left" w:pos="4900"/>
        </w:tabs>
        <w:jc w:val="center"/>
        <w:rPr>
          <w:rFonts w:ascii="仿宋" w:hAnsi="仿宋" w:eastAsia="仿宋" w:cs="宋体"/>
          <w:b/>
          <w:bCs/>
          <w:sz w:val="44"/>
          <w:szCs w:val="44"/>
        </w:rPr>
      </w:pPr>
      <w:r>
        <w:rPr>
          <w:rFonts w:hint="eastAsia" w:ascii="仿宋" w:hAnsi="仿宋" w:eastAsia="仿宋" w:cs="宋体"/>
          <w:b/>
          <w:bCs/>
          <w:sz w:val="44"/>
          <w:szCs w:val="44"/>
        </w:rPr>
        <w:t>投标文件</w:t>
      </w:r>
    </w:p>
    <w:p>
      <w:pPr>
        <w:spacing w:line="400" w:lineRule="exact"/>
        <w:rPr>
          <w:rFonts w:ascii="仿宋" w:hAnsi="仿宋" w:eastAsia="仿宋"/>
          <w:sz w:val="32"/>
          <w:szCs w:val="32"/>
        </w:rPr>
      </w:pPr>
    </w:p>
    <w:p>
      <w:pPr>
        <w:spacing w:line="400" w:lineRule="exact"/>
        <w:rPr>
          <w:rFonts w:ascii="仿宋" w:hAnsi="仿宋" w:eastAsia="仿宋" w:cs="宋体"/>
          <w:sz w:val="32"/>
          <w:szCs w:val="32"/>
        </w:rPr>
      </w:pPr>
    </w:p>
    <w:p>
      <w:pPr>
        <w:spacing w:line="400" w:lineRule="exact"/>
        <w:rPr>
          <w:rFonts w:ascii="仿宋" w:hAnsi="仿宋" w:eastAsia="仿宋" w:cs="宋体"/>
          <w:sz w:val="32"/>
          <w:szCs w:val="32"/>
        </w:rPr>
      </w:pPr>
    </w:p>
    <w:p>
      <w:pPr>
        <w:spacing w:line="400" w:lineRule="exact"/>
        <w:rPr>
          <w:rFonts w:ascii="仿宋" w:hAnsi="仿宋" w:eastAsia="仿宋" w:cs="宋体"/>
          <w:sz w:val="32"/>
          <w:szCs w:val="32"/>
        </w:rPr>
      </w:pPr>
    </w:p>
    <w:p>
      <w:pPr>
        <w:pStyle w:val="4"/>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p>
    <w:p>
      <w:pPr>
        <w:pStyle w:val="4"/>
        <w:rPr>
          <w:rFonts w:ascii="仿宋" w:hAnsi="仿宋" w:eastAsia="仿宋"/>
          <w:sz w:val="32"/>
          <w:szCs w:val="32"/>
        </w:rPr>
      </w:pPr>
    </w:p>
    <w:p>
      <w:pPr>
        <w:ind w:left="80"/>
        <w:jc w:val="center"/>
        <w:rPr>
          <w:rFonts w:ascii="仿宋" w:hAnsi="仿宋" w:eastAsia="仿宋" w:cs="宋体"/>
          <w:w w:val="98"/>
          <w:sz w:val="32"/>
          <w:szCs w:val="32"/>
        </w:rPr>
      </w:pPr>
      <w:r>
        <w:rPr>
          <w:rFonts w:hint="eastAsia" w:ascii="仿宋" w:hAnsi="仿宋" w:eastAsia="仿宋" w:cs="宋体"/>
          <w:w w:val="98"/>
          <w:sz w:val="32"/>
          <w:szCs w:val="32"/>
        </w:rPr>
        <w:t>投标人：（盖单位章）</w:t>
      </w:r>
    </w:p>
    <w:p>
      <w:pPr>
        <w:pStyle w:val="4"/>
        <w:rPr>
          <w:rFonts w:ascii="仿宋" w:hAnsi="仿宋" w:eastAsia="仿宋"/>
          <w:sz w:val="32"/>
          <w:szCs w:val="32"/>
        </w:rPr>
      </w:pPr>
    </w:p>
    <w:p>
      <w:pPr>
        <w:spacing w:line="400" w:lineRule="exact"/>
        <w:ind w:firstLine="3200" w:firstLineChars="1000"/>
        <w:rPr>
          <w:rFonts w:ascii="仿宋" w:hAnsi="仿宋" w:eastAsia="仿宋"/>
          <w:sz w:val="32"/>
          <w:szCs w:val="32"/>
        </w:rPr>
      </w:pPr>
      <w:r>
        <w:rPr>
          <w:rFonts w:hint="eastAsia" w:ascii="仿宋" w:hAnsi="仿宋" w:eastAsia="仿宋"/>
          <w:sz w:val="32"/>
          <w:szCs w:val="32"/>
        </w:rPr>
        <w:t>年   月   日</w:t>
      </w:r>
    </w:p>
    <w:p>
      <w:pPr>
        <w:tabs>
          <w:tab w:val="left" w:pos="1202"/>
        </w:tabs>
        <w:spacing w:before="32"/>
        <w:ind w:right="4"/>
        <w:rPr>
          <w:rFonts w:ascii="仿宋" w:hAnsi="仿宋" w:eastAsia="仿宋"/>
          <w:b/>
          <w:sz w:val="32"/>
          <w:szCs w:val="32"/>
        </w:rPr>
        <w:sectPr>
          <w:headerReference r:id="rId3" w:type="default"/>
          <w:footerReference r:id="rId4" w:type="default"/>
          <w:pgSz w:w="11910" w:h="16840"/>
          <w:pgMar w:top="1134" w:right="1134" w:bottom="1134" w:left="1417" w:header="794" w:footer="794" w:gutter="0"/>
          <w:cols w:space="720" w:num="1"/>
        </w:sectPr>
      </w:pPr>
    </w:p>
    <w:p>
      <w:pPr>
        <w:rPr>
          <w:rFonts w:ascii="仿宋" w:hAnsi="仿宋" w:eastAsia="仿宋"/>
          <w:b/>
          <w:sz w:val="32"/>
          <w:szCs w:val="32"/>
        </w:rPr>
      </w:pPr>
      <w:r>
        <w:rPr>
          <w:rFonts w:ascii="仿宋" w:hAnsi="仿宋" w:eastAsia="仿宋"/>
          <w:b/>
          <w:sz w:val="32"/>
          <w:szCs w:val="32"/>
        </w:rPr>
        <w:br w:type="page"/>
      </w:r>
    </w:p>
    <w:p>
      <w:pPr>
        <w:tabs>
          <w:tab w:val="left" w:pos="1202"/>
        </w:tabs>
        <w:spacing w:before="32"/>
        <w:ind w:right="4"/>
        <w:jc w:val="center"/>
        <w:rPr>
          <w:rFonts w:ascii="仿宋" w:hAnsi="仿宋" w:eastAsia="仿宋"/>
          <w:b/>
          <w:sz w:val="32"/>
          <w:szCs w:val="32"/>
        </w:rPr>
      </w:pPr>
      <w:r>
        <w:rPr>
          <w:rFonts w:ascii="仿宋" w:hAnsi="仿宋" w:eastAsia="仿宋"/>
          <w:b/>
          <w:sz w:val="32"/>
          <w:szCs w:val="32"/>
        </w:rPr>
        <w:t>目录</w:t>
      </w:r>
    </w:p>
    <w:p>
      <w:pPr>
        <w:spacing w:line="560" w:lineRule="atLeast"/>
        <w:ind w:left="960" w:leftChars="300"/>
        <w:jc w:val="left"/>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w:t>
      </w:r>
      <w:r>
        <w:rPr>
          <w:rFonts w:ascii="仿宋" w:hAnsi="仿宋" w:eastAsia="仿宋"/>
          <w:sz w:val="32"/>
          <w:szCs w:val="32"/>
        </w:rPr>
        <w:t>投标函</w:t>
      </w:r>
    </w:p>
    <w:p>
      <w:pPr>
        <w:spacing w:line="560" w:lineRule="atLeast"/>
        <w:ind w:left="960" w:leftChars="300"/>
        <w:jc w:val="left"/>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授权委托书或法定代表人身份证明</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三、投标人营业执照复印件</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投标人信誉情况</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承诺函</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六、技术建议书</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七、业绩证明</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t>八、其他资料</w:t>
      </w:r>
    </w:p>
    <w:p>
      <w:pPr>
        <w:spacing w:line="560" w:lineRule="atLeast"/>
        <w:ind w:left="960" w:leftChars="300"/>
        <w:jc w:val="left"/>
        <w:rPr>
          <w:rFonts w:ascii="仿宋" w:hAnsi="仿宋" w:eastAsia="仿宋"/>
          <w:sz w:val="32"/>
          <w:szCs w:val="32"/>
        </w:rPr>
      </w:pPr>
      <w:r>
        <w:rPr>
          <w:rFonts w:hint="eastAsia" w:ascii="仿宋" w:hAnsi="仿宋" w:eastAsia="仿宋"/>
          <w:sz w:val="32"/>
          <w:szCs w:val="32"/>
        </w:rPr>
        <w:br w:type="page"/>
      </w:r>
    </w:p>
    <w:p>
      <w:pPr>
        <w:pStyle w:val="4"/>
      </w:pPr>
    </w:p>
    <w:p>
      <w:pPr>
        <w:spacing w:line="400" w:lineRule="atLeast"/>
        <w:jc w:val="center"/>
        <w:rPr>
          <w:rFonts w:ascii="仿宋" w:hAnsi="仿宋" w:eastAsia="仿宋"/>
          <w:b/>
          <w:sz w:val="32"/>
          <w:szCs w:val="32"/>
        </w:rPr>
      </w:pPr>
      <w:r>
        <w:rPr>
          <w:rFonts w:hint="eastAsia" w:ascii="仿宋" w:hAnsi="仿宋" w:eastAsia="仿宋"/>
          <w:b/>
          <w:sz w:val="32"/>
          <w:szCs w:val="32"/>
        </w:rPr>
        <w:t>一、投标函</w:t>
      </w:r>
    </w:p>
    <w:p>
      <w:pPr>
        <w:pStyle w:val="4"/>
        <w:spacing w:line="400" w:lineRule="atLeast"/>
        <w:rPr>
          <w:rFonts w:ascii="仿宋" w:hAnsi="仿宋" w:eastAsia="仿宋"/>
          <w:sz w:val="32"/>
          <w:szCs w:val="32"/>
          <w:u w:val="single"/>
        </w:rPr>
      </w:pPr>
    </w:p>
    <w:p>
      <w:pPr>
        <w:pStyle w:val="4"/>
        <w:spacing w:line="400" w:lineRule="atLeast"/>
        <w:ind w:firstLine="560" w:firstLineChars="200"/>
        <w:rPr>
          <w:rFonts w:ascii="仿宋" w:hAnsi="仿宋" w:eastAsia="仿宋"/>
          <w:sz w:val="28"/>
          <w:szCs w:val="28"/>
        </w:rPr>
      </w:pPr>
      <w:r>
        <w:rPr>
          <w:rFonts w:hint="eastAsia" w:ascii="仿宋" w:hAnsi="仿宋" w:eastAsia="仿宋"/>
          <w:sz w:val="28"/>
          <w:szCs w:val="28"/>
          <w:u w:val="single"/>
        </w:rPr>
        <w:t>四川秦巴高速公路有限责任公司：</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1.我方已仔细研究</w:t>
      </w:r>
      <w:r>
        <w:rPr>
          <w:rFonts w:hint="eastAsia" w:ascii="仿宋" w:hAnsi="仿宋" w:eastAsia="仿宋"/>
          <w:sz w:val="28"/>
          <w:szCs w:val="28"/>
          <w:u w:val="single"/>
        </w:rPr>
        <w:t>（</w:t>
      </w:r>
      <w:r>
        <w:rPr>
          <w:rFonts w:hint="eastAsia" w:ascii="仿宋" w:hAnsi="仿宋" w:eastAsia="仿宋" w:cs="仿宋"/>
          <w:sz w:val="28"/>
          <w:szCs w:val="28"/>
          <w:u w:val="single"/>
        </w:rPr>
        <w:t>秦巴公司</w:t>
      </w:r>
      <w:r>
        <w:rPr>
          <w:rFonts w:hint="eastAsia" w:eastAsia="仿宋"/>
          <w:szCs w:val="21"/>
          <w:u w:val="single"/>
          <w:lang w:eastAsia="zh-CN"/>
        </w:rPr>
        <w:t>2024</w:t>
      </w:r>
      <w:r>
        <w:rPr>
          <w:rFonts w:hint="eastAsia" w:ascii="仿宋" w:hAnsi="仿宋" w:eastAsia="仿宋" w:cs="仿宋"/>
          <w:sz w:val="28"/>
          <w:szCs w:val="28"/>
          <w:u w:val="single"/>
        </w:rPr>
        <w:t>年度防雷接地检测项目</w:t>
      </w:r>
      <w:r>
        <w:rPr>
          <w:rFonts w:hint="eastAsia" w:ascii="仿宋" w:hAnsi="仿宋" w:eastAsia="仿宋"/>
          <w:sz w:val="28"/>
          <w:szCs w:val="28"/>
          <w:u w:val="single"/>
        </w:rPr>
        <w:t>）</w:t>
      </w:r>
      <w:r>
        <w:rPr>
          <w:rFonts w:hint="eastAsia" w:ascii="仿宋" w:hAnsi="仿宋" w:eastAsia="仿宋"/>
          <w:sz w:val="28"/>
          <w:szCs w:val="28"/>
        </w:rPr>
        <w:t>的全部内容，在现场考察研究后，我方愿意以人民币（大写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）元</w:t>
      </w:r>
      <w:r>
        <w:rPr>
          <w:rFonts w:hint="eastAsia" w:ascii="仿宋" w:hAnsi="仿宋" w:eastAsia="仿宋"/>
          <w:sz w:val="28"/>
          <w:szCs w:val="28"/>
          <w:lang w:val="en-US" w:eastAsia="zh-CN"/>
        </w:rPr>
        <w:t>/年，</w:t>
      </w:r>
      <w:r>
        <w:rPr>
          <w:rFonts w:hint="eastAsia" w:ascii="仿宋" w:hAnsi="仿宋" w:eastAsia="仿宋"/>
          <w:sz w:val="28"/>
          <w:szCs w:val="28"/>
        </w:rPr>
        <w:t>（</w:t>
      </w:r>
      <w:r>
        <w:rPr>
          <w:rFonts w:ascii="Calibri" w:hAnsi="Calibri" w:eastAsia="仿宋" w:cs="Calibri"/>
          <w:sz w:val="28"/>
          <w:szCs w:val="28"/>
        </w:rPr>
        <w:t>¥</w:t>
      </w:r>
      <w:r>
        <w:rPr>
          <w:rFonts w:ascii="仿宋" w:hAnsi="仿宋" w:eastAsia="仿宋"/>
          <w:sz w:val="28"/>
          <w:szCs w:val="28"/>
          <w:u w:val="single"/>
        </w:rPr>
        <w:t xml:space="preserve">               </w:t>
      </w:r>
      <w:r>
        <w:rPr>
          <w:rFonts w:hint="eastAsia" w:ascii="仿宋" w:hAnsi="仿宋" w:eastAsia="仿宋"/>
          <w:sz w:val="28"/>
          <w:szCs w:val="28"/>
          <w:lang w:val="en-US" w:eastAsia="zh-CN"/>
        </w:rPr>
        <w:t>/年</w:t>
      </w:r>
      <w:r>
        <w:rPr>
          <w:rFonts w:hint="eastAsia" w:ascii="仿宋" w:hAnsi="仿宋" w:eastAsia="仿宋"/>
          <w:sz w:val="28"/>
          <w:szCs w:val="28"/>
        </w:rPr>
        <w:t>）的投标报价（或根据询比文件规定修正核实后确定的另一金额），按合同约定实施和完成本招标项目规定的所有工作。</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2.我方承诺在</w:t>
      </w:r>
      <w:r>
        <w:rPr>
          <w:rFonts w:hint="eastAsia" w:ascii="仿宋" w:hAnsi="仿宋" w:eastAsia="仿宋"/>
          <w:sz w:val="28"/>
          <w:szCs w:val="28"/>
          <w:lang w:eastAsia="zh-CN"/>
        </w:rPr>
        <w:t>比选</w:t>
      </w:r>
      <w:r>
        <w:rPr>
          <w:rFonts w:hint="eastAsia" w:ascii="仿宋" w:hAnsi="仿宋" w:eastAsia="仿宋"/>
          <w:sz w:val="28"/>
          <w:szCs w:val="28"/>
        </w:rPr>
        <w:t>文件规定的投标有效期内不撤销投标文件。</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3.项目负责人姓名：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4.质量要求：（</w:t>
      </w:r>
      <w:r>
        <w:rPr>
          <w:rFonts w:hint="eastAsia" w:ascii="仿宋" w:hAnsi="仿宋" w:eastAsia="仿宋"/>
          <w:sz w:val="28"/>
          <w:szCs w:val="28"/>
          <w:u w:val="single"/>
        </w:rPr>
        <w:t>满足</w:t>
      </w:r>
      <w:r>
        <w:rPr>
          <w:rFonts w:hint="eastAsia" w:ascii="仿宋" w:hAnsi="仿宋" w:eastAsia="仿宋"/>
          <w:sz w:val="28"/>
          <w:szCs w:val="28"/>
          <w:u w:val="single"/>
          <w:lang w:eastAsia="zh-CN"/>
        </w:rPr>
        <w:t>比选</w:t>
      </w:r>
      <w:r>
        <w:rPr>
          <w:rFonts w:hint="eastAsia" w:ascii="仿宋" w:hAnsi="仿宋" w:eastAsia="仿宋"/>
          <w:sz w:val="28"/>
          <w:szCs w:val="28"/>
          <w:u w:val="single"/>
        </w:rPr>
        <w:t>文件要求</w:t>
      </w:r>
      <w:r>
        <w:rPr>
          <w:rFonts w:hint="eastAsia" w:ascii="仿宋" w:hAnsi="仿宋" w:eastAsia="仿宋"/>
          <w:sz w:val="28"/>
          <w:szCs w:val="28"/>
        </w:rPr>
        <w:t>），安全目标：（</w:t>
      </w:r>
      <w:r>
        <w:rPr>
          <w:rFonts w:hint="eastAsia" w:ascii="仿宋" w:hAnsi="仿宋" w:eastAsia="仿宋"/>
          <w:sz w:val="28"/>
          <w:szCs w:val="28"/>
          <w:u w:val="single"/>
        </w:rPr>
        <w:t>满足</w:t>
      </w:r>
      <w:r>
        <w:rPr>
          <w:rFonts w:hint="eastAsia" w:ascii="仿宋" w:hAnsi="仿宋" w:eastAsia="仿宋"/>
          <w:sz w:val="28"/>
          <w:szCs w:val="28"/>
          <w:u w:val="single"/>
          <w:lang w:eastAsia="zh-CN"/>
        </w:rPr>
        <w:t>比选</w:t>
      </w:r>
      <w:r>
        <w:rPr>
          <w:rFonts w:hint="eastAsia" w:ascii="仿宋" w:hAnsi="仿宋" w:eastAsia="仿宋"/>
          <w:sz w:val="28"/>
          <w:szCs w:val="28"/>
          <w:u w:val="single"/>
        </w:rPr>
        <w:t>文件要求）</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5.如我方中标，我方承诺：</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（1）在收到中标通知书后，在中标通知书规定的期限内与你方签订合同；</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（2）在签订合同时不向你方提出附加条件；</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）在合同约定的期限内完成合同规定的全部义务；</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6.我方在此声明，所递交的投标文件及有关资料内容完整、真实和准确。</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7.在合同协议书正式签署生效之前，本投标函连同你方的中标通知书将构成我们双方之间共同遵守的文件，对双方具有约束力。</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8.（其他补充说明）。</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投标人：（盖单位章）</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法定代表人或其委托代理人：（签字）</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投标人地址：</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电话：</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邮箱：</w:t>
      </w:r>
    </w:p>
    <w:p>
      <w:pPr>
        <w:pStyle w:val="4"/>
        <w:spacing w:line="560" w:lineRule="atLeast"/>
        <w:ind w:firstLine="560" w:firstLineChars="200"/>
        <w:rPr>
          <w:rFonts w:ascii="仿宋" w:hAnsi="仿宋" w:eastAsia="仿宋"/>
          <w:sz w:val="32"/>
          <w:szCs w:val="32"/>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32"/>
          <w:szCs w:val="32"/>
        </w:rPr>
      </w:pPr>
      <w:r>
        <w:rPr>
          <w:rFonts w:ascii="仿宋" w:hAnsi="仿宋" w:eastAsia="仿宋"/>
          <w:sz w:val="32"/>
          <w:szCs w:val="32"/>
        </w:rPr>
        <w:br w:type="page"/>
      </w:r>
    </w:p>
    <w:p>
      <w:pPr>
        <w:pStyle w:val="4"/>
        <w:sectPr>
          <w:type w:val="continuous"/>
          <w:pgSz w:w="11910" w:h="16840"/>
          <w:pgMar w:top="1134" w:right="1134" w:bottom="1134" w:left="1417" w:header="720" w:footer="720" w:gutter="0"/>
          <w:cols w:space="720" w:num="1"/>
        </w:sectPr>
      </w:pPr>
    </w:p>
    <w:p>
      <w:pPr>
        <w:rPr>
          <w:rFonts w:ascii="仿宋" w:hAnsi="仿宋" w:eastAsia="仿宋"/>
          <w:sz w:val="32"/>
          <w:szCs w:val="32"/>
        </w:rPr>
      </w:pPr>
    </w:p>
    <w:p>
      <w:pPr>
        <w:pStyle w:val="4"/>
        <w:spacing w:line="400" w:lineRule="atLeast"/>
        <w:jc w:val="center"/>
        <w:rPr>
          <w:rFonts w:ascii="仿宋" w:hAnsi="仿宋" w:eastAsia="仿宋"/>
          <w:b/>
          <w:sz w:val="32"/>
          <w:szCs w:val="32"/>
        </w:rPr>
      </w:pPr>
      <w:r>
        <w:rPr>
          <w:rFonts w:hint="eastAsia" w:ascii="仿宋" w:hAnsi="仿宋" w:eastAsia="仿宋"/>
          <w:b/>
          <w:sz w:val="32"/>
          <w:szCs w:val="32"/>
        </w:rPr>
        <w:t>二、授权委托书或法定代表人身份证明</w:t>
      </w:r>
    </w:p>
    <w:p>
      <w:pPr>
        <w:pStyle w:val="4"/>
        <w:spacing w:before="12" w:line="400" w:lineRule="atLeast"/>
        <w:ind w:right="215"/>
        <w:rPr>
          <w:b/>
          <w:sz w:val="45"/>
        </w:rPr>
      </w:pPr>
    </w:p>
    <w:p>
      <w:pPr>
        <w:pStyle w:val="4"/>
        <w:numPr>
          <w:ilvl w:val="0"/>
          <w:numId w:val="5"/>
        </w:numPr>
        <w:spacing w:before="7" w:line="400" w:lineRule="atLeast"/>
        <w:ind w:firstLine="562" w:firstLineChars="200"/>
        <w:jc w:val="center"/>
        <w:rPr>
          <w:b/>
          <w:sz w:val="28"/>
          <w:szCs w:val="28"/>
        </w:rPr>
      </w:pPr>
      <w:r>
        <w:rPr>
          <w:rFonts w:ascii="仿宋" w:hAnsi="仿宋" w:eastAsia="仿宋"/>
          <w:b/>
          <w:sz w:val="28"/>
          <w:szCs w:val="28"/>
        </w:rPr>
        <w:t>授权委托书（如果有）</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本人（姓名）系（报价人名称）的法定代表人，现委托（姓名）为我方代理人。代理人根据授权，以我方名义签字、澄清确认、递交、撤回、修改</w:t>
      </w:r>
      <w:r>
        <w:rPr>
          <w:rFonts w:hint="eastAsia" w:ascii="仿宋" w:hAnsi="仿宋" w:eastAsia="仿宋" w:cs="仿宋"/>
          <w:sz w:val="28"/>
          <w:szCs w:val="28"/>
          <w:u w:val="single"/>
        </w:rPr>
        <w:t>秦巴公司</w:t>
      </w:r>
      <w:r>
        <w:rPr>
          <w:rFonts w:hint="eastAsia" w:eastAsia="仿宋"/>
          <w:szCs w:val="21"/>
          <w:u w:val="single"/>
          <w:lang w:eastAsia="zh-CN"/>
        </w:rPr>
        <w:t>2024</w:t>
      </w:r>
      <w:r>
        <w:rPr>
          <w:rFonts w:hint="eastAsia" w:ascii="仿宋" w:hAnsi="仿宋" w:eastAsia="仿宋" w:cs="仿宋"/>
          <w:sz w:val="28"/>
          <w:szCs w:val="28"/>
          <w:u w:val="single"/>
        </w:rPr>
        <w:t>年度防雷接地检测项目</w:t>
      </w:r>
      <w:r>
        <w:rPr>
          <w:rFonts w:hint="eastAsia" w:ascii="仿宋" w:hAnsi="仿宋" w:eastAsia="仿宋"/>
          <w:bCs/>
          <w:sz w:val="28"/>
          <w:szCs w:val="28"/>
        </w:rPr>
        <w:t>报价文件、签订合同和处理有关事宜，其法律后果由我方承担。</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委托期限：自本委托书签字之日起至报价有效期期满。</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代理人无转委托权</w:t>
      </w:r>
    </w:p>
    <w:p>
      <w:pPr>
        <w:pStyle w:val="4"/>
        <w:spacing w:line="40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附：法定代表人身份证影印件及委托代理人身份证影印件（彩色或黑白）。</w:t>
      </w:r>
    </w:p>
    <w:p>
      <w:pPr>
        <w:pStyle w:val="4"/>
        <w:spacing w:line="400" w:lineRule="atLeast"/>
        <w:rPr>
          <w:rFonts w:ascii="仿宋" w:hAnsi="仿宋" w:eastAsia="仿宋"/>
          <w:bCs/>
          <w:sz w:val="28"/>
          <w:szCs w:val="28"/>
        </w:rPr>
      </w:pPr>
    </w:p>
    <w:p>
      <w:pPr>
        <w:pStyle w:val="4"/>
        <w:spacing w:line="400" w:lineRule="atLeast"/>
        <w:ind w:firstLine="560" w:firstLineChars="200"/>
        <w:rPr>
          <w:rFonts w:ascii="仿宋" w:hAnsi="仿宋" w:eastAsia="仿宋"/>
          <w:bCs/>
          <w:sz w:val="28"/>
          <w:szCs w:val="28"/>
        </w:rPr>
      </w:pPr>
      <w:r>
        <w:rPr>
          <w:rFonts w:hint="eastAsia" w:ascii="仿宋" w:hAnsi="仿宋" w:eastAsia="仿宋"/>
          <w:bCs/>
          <w:sz w:val="28"/>
          <w:szCs w:val="28"/>
        </w:rPr>
        <w:t xml:space="preserve">报价人： </w:t>
      </w:r>
      <w:r>
        <w:rPr>
          <w:rFonts w:hint="eastAsia" w:ascii="仿宋" w:hAnsi="仿宋" w:eastAsia="仿宋"/>
          <w:bCs/>
          <w:sz w:val="28"/>
          <w:szCs w:val="28"/>
        </w:rPr>
        <w:tab/>
      </w:r>
      <w:r>
        <w:rPr>
          <w:rFonts w:hint="eastAsia" w:ascii="仿宋" w:hAnsi="仿宋" w:eastAsia="仿宋"/>
          <w:bCs/>
          <w:sz w:val="28"/>
          <w:szCs w:val="28"/>
        </w:rPr>
        <w:t>（盖单位章）</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法定代表人： </w:t>
      </w:r>
      <w:r>
        <w:rPr>
          <w:rFonts w:hint="eastAsia" w:ascii="仿宋" w:hAnsi="仿宋" w:eastAsia="仿宋"/>
          <w:bCs/>
          <w:sz w:val="28"/>
          <w:szCs w:val="28"/>
        </w:rPr>
        <w:tab/>
      </w:r>
      <w:r>
        <w:rPr>
          <w:rFonts w:hint="eastAsia" w:ascii="仿宋" w:hAnsi="仿宋" w:eastAsia="仿宋"/>
          <w:bCs/>
          <w:sz w:val="28"/>
          <w:szCs w:val="28"/>
        </w:rPr>
        <w:t>（签字）</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身份证号码： </w:t>
      </w:r>
      <w:r>
        <w:rPr>
          <w:rFonts w:hint="eastAsia" w:ascii="仿宋" w:hAnsi="仿宋" w:eastAsia="仿宋"/>
          <w:bCs/>
          <w:sz w:val="28"/>
          <w:szCs w:val="28"/>
        </w:rPr>
        <w:tab/>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委托代理人： </w:t>
      </w:r>
      <w:r>
        <w:rPr>
          <w:rFonts w:hint="eastAsia" w:ascii="仿宋" w:hAnsi="仿宋" w:eastAsia="仿宋"/>
          <w:bCs/>
          <w:sz w:val="28"/>
          <w:szCs w:val="28"/>
        </w:rPr>
        <w:tab/>
      </w:r>
      <w:r>
        <w:rPr>
          <w:rFonts w:hint="eastAsia" w:ascii="仿宋" w:hAnsi="仿宋" w:eastAsia="仿宋"/>
          <w:bCs/>
          <w:sz w:val="28"/>
          <w:szCs w:val="28"/>
        </w:rPr>
        <w:t>（签字）</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 xml:space="preserve">身份证号码： </w:t>
      </w:r>
      <w:r>
        <w:rPr>
          <w:rFonts w:hint="eastAsia" w:ascii="仿宋" w:hAnsi="仿宋" w:eastAsia="仿宋"/>
          <w:bCs/>
          <w:sz w:val="28"/>
          <w:szCs w:val="28"/>
        </w:rPr>
        <w:tab/>
      </w:r>
    </w:p>
    <w:p>
      <w:pPr>
        <w:pStyle w:val="4"/>
        <w:spacing w:line="560" w:lineRule="atLeast"/>
        <w:ind w:firstLine="560" w:firstLineChars="200"/>
        <w:rPr>
          <w:sz w:val="28"/>
          <w:szCs w:val="28"/>
        </w:rPr>
      </w:pPr>
      <w:r>
        <w:rPr>
          <w:rFonts w:hint="eastAsia" w:ascii="仿宋" w:hAnsi="仿宋" w:eastAsia="仿宋"/>
          <w:bCs/>
          <w:sz w:val="28"/>
          <w:szCs w:val="28"/>
        </w:rPr>
        <w:t xml:space="preserve"> </w:t>
      </w:r>
      <w:r>
        <w:rPr>
          <w:rFonts w:hint="eastAsia" w:ascii="仿宋" w:hAnsi="仿宋" w:eastAsia="仿宋"/>
          <w:bCs/>
          <w:sz w:val="28"/>
          <w:szCs w:val="28"/>
        </w:rPr>
        <w:tab/>
      </w:r>
      <w:r>
        <w:rPr>
          <w:rFonts w:hint="eastAsia" w:ascii="仿宋" w:hAnsi="仿宋" w:eastAsia="仿宋"/>
          <w:bCs/>
          <w:sz w:val="28"/>
          <w:szCs w:val="28"/>
        </w:rPr>
        <w:t xml:space="preserve">年 </w:t>
      </w:r>
      <w:r>
        <w:rPr>
          <w:rFonts w:hint="eastAsia" w:ascii="仿宋" w:hAnsi="仿宋" w:eastAsia="仿宋"/>
          <w:bCs/>
          <w:sz w:val="28"/>
          <w:szCs w:val="28"/>
        </w:rPr>
        <w:tab/>
      </w:r>
      <w:r>
        <w:rPr>
          <w:rFonts w:hint="eastAsia" w:ascii="仿宋" w:hAnsi="仿宋" w:eastAsia="仿宋"/>
          <w:bCs/>
          <w:sz w:val="28"/>
          <w:szCs w:val="28"/>
        </w:rPr>
        <w:t xml:space="preserve">月 </w:t>
      </w:r>
      <w:r>
        <w:rPr>
          <w:rFonts w:hint="eastAsia" w:ascii="仿宋" w:hAnsi="仿宋" w:eastAsia="仿宋"/>
          <w:bCs/>
          <w:sz w:val="28"/>
          <w:szCs w:val="28"/>
        </w:rPr>
        <w:tab/>
      </w:r>
      <w:r>
        <w:rPr>
          <w:rFonts w:hint="eastAsia" w:ascii="仿宋" w:hAnsi="仿宋" w:eastAsia="仿宋"/>
          <w:bCs/>
          <w:sz w:val="28"/>
          <w:szCs w:val="28"/>
        </w:rPr>
        <w:t>日</w:t>
      </w:r>
    </w:p>
    <w:p>
      <w:pPr>
        <w:pStyle w:val="4"/>
        <w:spacing w:line="480" w:lineRule="atLeast"/>
        <w:ind w:left="562" w:hanging="562" w:hangingChars="200"/>
        <w:rPr>
          <w:rFonts w:ascii="仿宋" w:hAnsi="仿宋" w:eastAsia="仿宋"/>
          <w:b/>
          <w:bCs/>
          <w:sz w:val="28"/>
          <w:szCs w:val="28"/>
        </w:rPr>
      </w:pPr>
      <w:r>
        <w:rPr>
          <w:rFonts w:ascii="仿宋" w:hAnsi="仿宋" w:eastAsia="仿宋"/>
          <w:b/>
          <w:bCs/>
          <w:sz w:val="28"/>
          <w:szCs w:val="28"/>
        </w:rPr>
        <w:t>注： 1.如果报价文件由委托代理人签署，则报价人须提交授权委托书和法定代表人身份证明。</w:t>
      </w:r>
    </w:p>
    <w:p>
      <w:pPr>
        <w:pStyle w:val="4"/>
        <w:spacing w:line="480" w:lineRule="atLeast"/>
        <w:ind w:firstLine="644" w:firstLineChars="229"/>
        <w:rPr>
          <w:rFonts w:ascii="仿宋" w:hAnsi="仿宋" w:eastAsia="仿宋"/>
          <w:b/>
          <w:bCs/>
          <w:sz w:val="28"/>
          <w:szCs w:val="28"/>
        </w:rPr>
      </w:pPr>
      <w:r>
        <w:rPr>
          <w:rFonts w:ascii="仿宋" w:hAnsi="仿宋" w:eastAsia="仿宋"/>
          <w:b/>
          <w:bCs/>
          <w:sz w:val="28"/>
          <w:szCs w:val="28"/>
        </w:rPr>
        <w:t>2.提交的授权委托书须满足下列要求，否则其授权无效：</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报价人须在授权委托书上加盖报价人单位章；</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法定代表人和委托代理人必须在授权书上亲笔签名，不得使用印章、签名章或其他电子制版签名代替；</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委托代理人只能是一个人，且不能再授予他人；</w:t>
      </w:r>
    </w:p>
    <w:p>
      <w:pPr>
        <w:pStyle w:val="4"/>
        <w:spacing w:line="480" w:lineRule="atLeast"/>
        <w:ind w:firstLine="644" w:firstLineChars="229"/>
        <w:rPr>
          <w:rFonts w:ascii="仿宋" w:hAnsi="仿宋" w:eastAsia="仿宋"/>
          <w:b/>
          <w:bCs/>
          <w:sz w:val="28"/>
          <w:szCs w:val="28"/>
        </w:rPr>
      </w:pPr>
      <w:r>
        <w:rPr>
          <w:rFonts w:hint="eastAsia" w:ascii="仿宋" w:hAnsi="仿宋" w:eastAsia="仿宋"/>
          <w:b/>
          <w:bCs/>
          <w:sz w:val="28"/>
          <w:szCs w:val="28"/>
        </w:rPr>
        <w:t>6.</w:t>
      </w:r>
      <w:r>
        <w:rPr>
          <w:rFonts w:ascii="仿宋" w:hAnsi="仿宋" w:eastAsia="仿宋"/>
          <w:b/>
          <w:bCs/>
          <w:sz w:val="28"/>
          <w:szCs w:val="28"/>
        </w:rPr>
        <w:t>授权委托书的时间应与法定代表人或其委托代理人签署报价函的时间同日或在其之前。</w:t>
      </w:r>
    </w:p>
    <w:p>
      <w:pPr>
        <w:rPr>
          <w:rFonts w:ascii="仿宋" w:hAnsi="仿宋" w:eastAsia="仿宋"/>
          <w:b/>
          <w:bCs/>
          <w:sz w:val="28"/>
          <w:szCs w:val="28"/>
        </w:rPr>
      </w:pPr>
      <w:r>
        <w:rPr>
          <w:rFonts w:ascii="仿宋" w:hAnsi="仿宋" w:eastAsia="仿宋"/>
          <w:b/>
          <w:bCs/>
          <w:sz w:val="28"/>
          <w:szCs w:val="28"/>
        </w:rPr>
        <w:br w:type="page"/>
      </w:r>
    </w:p>
    <w:p/>
    <w:p>
      <w:pPr>
        <w:pStyle w:val="4"/>
        <w:numPr>
          <w:ilvl w:val="0"/>
          <w:numId w:val="5"/>
        </w:numPr>
        <w:spacing w:before="7" w:line="560" w:lineRule="atLeast"/>
        <w:jc w:val="center"/>
        <w:rPr>
          <w:rFonts w:ascii="仿宋" w:hAnsi="仿宋" w:eastAsia="仿宋"/>
          <w:b/>
          <w:sz w:val="28"/>
          <w:szCs w:val="28"/>
        </w:rPr>
      </w:pPr>
      <w:r>
        <w:rPr>
          <w:rFonts w:hint="eastAsia" w:ascii="仿宋" w:hAnsi="仿宋" w:eastAsia="仿宋"/>
          <w:b/>
          <w:sz w:val="28"/>
          <w:szCs w:val="28"/>
        </w:rPr>
        <w:t>法定代表人身份证明</w:t>
      </w: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投标人名称：</w:t>
      </w:r>
    </w:p>
    <w:p>
      <w:pPr>
        <w:pStyle w:val="4"/>
        <w:spacing w:line="560" w:lineRule="atLeast"/>
        <w:ind w:firstLine="560" w:firstLineChars="200"/>
        <w:rPr>
          <w:rFonts w:ascii="仿宋" w:hAnsi="仿宋" w:eastAsia="仿宋"/>
          <w:bCs/>
          <w:sz w:val="28"/>
          <w:szCs w:val="28"/>
          <w:u w:val="single"/>
        </w:rPr>
      </w:pPr>
      <w:r>
        <w:rPr>
          <w:rFonts w:hint="eastAsia" w:ascii="仿宋" w:hAnsi="仿宋" w:eastAsia="仿宋"/>
          <w:bCs/>
          <w:sz w:val="28"/>
          <w:szCs w:val="28"/>
        </w:rPr>
        <w:t>姓名：</w:t>
      </w:r>
      <w:r>
        <w:rPr>
          <w:rFonts w:hint="eastAsia" w:ascii="仿宋" w:hAnsi="仿宋" w:eastAsia="仿宋"/>
          <w:b/>
          <w:sz w:val="28"/>
          <w:szCs w:val="28"/>
          <w:u w:val="single"/>
        </w:rPr>
        <w:t>（法定代表人签字）</w:t>
      </w:r>
      <w:r>
        <w:rPr>
          <w:rFonts w:hint="eastAsia" w:ascii="仿宋" w:hAnsi="仿宋" w:eastAsia="仿宋"/>
          <w:bCs/>
          <w:sz w:val="28"/>
          <w:szCs w:val="28"/>
        </w:rPr>
        <w:t xml:space="preserve">性别：  </w:t>
      </w:r>
      <w:r>
        <w:rPr>
          <w:rFonts w:ascii="仿宋" w:hAnsi="仿宋" w:eastAsia="仿宋"/>
          <w:bCs/>
          <w:sz w:val="28"/>
          <w:szCs w:val="28"/>
        </w:rPr>
        <w:t xml:space="preserve">       </w:t>
      </w:r>
      <w:r>
        <w:rPr>
          <w:rFonts w:hint="eastAsia" w:ascii="仿宋" w:hAnsi="仿宋" w:eastAsia="仿宋"/>
          <w:bCs/>
          <w:sz w:val="28"/>
          <w:szCs w:val="28"/>
        </w:rPr>
        <w:t xml:space="preserve">年龄： </w:t>
      </w:r>
      <w:r>
        <w:rPr>
          <w:rFonts w:ascii="仿宋" w:hAnsi="仿宋" w:eastAsia="仿宋"/>
          <w:bCs/>
          <w:sz w:val="28"/>
          <w:szCs w:val="28"/>
        </w:rPr>
        <w:t xml:space="preserve">         </w:t>
      </w:r>
      <w:r>
        <w:rPr>
          <w:rFonts w:hint="eastAsia" w:ascii="仿宋" w:hAnsi="仿宋" w:eastAsia="仿宋"/>
          <w:bCs/>
          <w:sz w:val="28"/>
          <w:szCs w:val="28"/>
        </w:rPr>
        <w:t>职务：</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系</w:t>
      </w:r>
      <w:r>
        <w:rPr>
          <w:rFonts w:hint="eastAsia" w:ascii="仿宋" w:hAnsi="仿宋" w:eastAsia="仿宋"/>
          <w:b/>
          <w:sz w:val="28"/>
          <w:szCs w:val="28"/>
          <w:u w:val="single"/>
        </w:rPr>
        <w:t>（投标人名称）</w:t>
      </w:r>
      <w:r>
        <w:rPr>
          <w:rFonts w:hint="eastAsia" w:ascii="仿宋" w:hAnsi="仿宋" w:eastAsia="仿宋"/>
          <w:bCs/>
          <w:sz w:val="28"/>
          <w:szCs w:val="28"/>
        </w:rPr>
        <w:t>的法定代表人。</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特此证明。</w:t>
      </w:r>
    </w:p>
    <w:p>
      <w:pPr>
        <w:pStyle w:val="4"/>
        <w:spacing w:line="560" w:lineRule="atLeast"/>
        <w:ind w:firstLine="560" w:firstLineChars="200"/>
        <w:rPr>
          <w:rFonts w:ascii="仿宋" w:hAnsi="仿宋" w:eastAsia="仿宋"/>
          <w:bCs/>
          <w:sz w:val="28"/>
          <w:szCs w:val="28"/>
        </w:rPr>
      </w:pPr>
      <w:r>
        <w:rPr>
          <w:rFonts w:hint="eastAsia" w:ascii="仿宋" w:hAnsi="仿宋" w:eastAsia="仿宋"/>
          <w:bCs/>
          <w:sz w:val="28"/>
          <w:szCs w:val="28"/>
        </w:rPr>
        <w:t>附：法定代表人身份证影印件（彩色或黑白）。</w:t>
      </w: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spacing w:line="560" w:lineRule="atLeast"/>
        <w:ind w:left="994" w:firstLine="560" w:firstLineChars="200"/>
        <w:rPr>
          <w:rFonts w:ascii="仿宋" w:hAnsi="仿宋" w:eastAsia="仿宋"/>
          <w:sz w:val="28"/>
          <w:szCs w:val="28"/>
        </w:rPr>
      </w:pPr>
    </w:p>
    <w:p>
      <w:pPr>
        <w:pStyle w:val="4"/>
        <w:tabs>
          <w:tab w:val="left" w:pos="6730"/>
        </w:tabs>
        <w:spacing w:line="560" w:lineRule="atLeast"/>
        <w:ind w:left="982" w:leftChars="304" w:right="1843" w:rightChars="576" w:hanging="9"/>
        <w:jc w:val="right"/>
        <w:rPr>
          <w:rFonts w:ascii="仿宋" w:hAnsi="仿宋" w:eastAsia="仿宋"/>
          <w:sz w:val="28"/>
          <w:szCs w:val="28"/>
        </w:rPr>
      </w:pPr>
      <w:r>
        <w:rPr>
          <w:rFonts w:hint="eastAsia" w:ascii="仿宋" w:hAnsi="仿宋" w:eastAsia="仿宋"/>
          <w:sz w:val="28"/>
          <w:szCs w:val="28"/>
        </w:rPr>
        <w:t>投标人：（盖单位章）</w:t>
      </w:r>
    </w:p>
    <w:p>
      <w:pPr>
        <w:pStyle w:val="4"/>
        <w:tabs>
          <w:tab w:val="left" w:pos="6730"/>
        </w:tabs>
        <w:spacing w:line="560" w:lineRule="atLeast"/>
        <w:ind w:left="982" w:leftChars="304" w:right="1843" w:rightChars="576" w:hanging="9"/>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rPr>
          <w:rFonts w:ascii="仿宋" w:hAnsi="仿宋" w:eastAsia="仿宋"/>
          <w:sz w:val="28"/>
          <w:szCs w:val="28"/>
        </w:rPr>
      </w:pPr>
    </w:p>
    <w:p>
      <w:pPr>
        <w:pStyle w:val="4"/>
      </w:pPr>
    </w:p>
    <w:p>
      <w:pPr>
        <w:pStyle w:val="4"/>
        <w:spacing w:line="560" w:lineRule="atLeast"/>
        <w:ind w:left="14" w:hanging="14" w:hangingChars="5"/>
        <w:rPr>
          <w:rFonts w:ascii="仿宋" w:hAnsi="仿宋" w:eastAsia="仿宋"/>
          <w:b/>
          <w:sz w:val="32"/>
          <w:szCs w:val="32"/>
        </w:rPr>
        <w:sectPr>
          <w:pgSz w:w="11910" w:h="16840"/>
          <w:pgMar w:top="1134" w:right="1134" w:bottom="1134" w:left="1417" w:header="720" w:footer="720" w:gutter="0"/>
          <w:cols w:space="720" w:num="1"/>
        </w:sectPr>
      </w:pPr>
      <w:r>
        <w:rPr>
          <w:rFonts w:ascii="仿宋" w:hAnsi="仿宋" w:eastAsia="仿宋"/>
          <w:b/>
          <w:bCs/>
          <w:sz w:val="28"/>
          <w:szCs w:val="28"/>
        </w:rPr>
        <w:t>注：法定代表人的签字必须是亲笔签名，不得使用印章、签名章或其他电子制版签名代替。</w:t>
      </w:r>
    </w:p>
    <w:p>
      <w:pPr>
        <w:ind w:firstLine="643" w:firstLineChars="200"/>
        <w:jc w:val="center"/>
        <w:rPr>
          <w:rFonts w:ascii="仿宋" w:hAnsi="仿宋" w:eastAsia="仿宋"/>
          <w:b/>
          <w:sz w:val="32"/>
          <w:szCs w:val="32"/>
        </w:rPr>
      </w:pPr>
      <w:r>
        <w:rPr>
          <w:rFonts w:hint="eastAsia" w:ascii="仿宋" w:hAnsi="仿宋" w:eastAsia="仿宋"/>
          <w:b/>
          <w:sz w:val="32"/>
          <w:szCs w:val="32"/>
        </w:rPr>
        <w:t>三．投标人营业执照复印件</w:t>
      </w:r>
    </w:p>
    <w:p>
      <w:pPr>
        <w:pStyle w:val="4"/>
        <w:spacing w:line="360" w:lineRule="auto"/>
        <w:ind w:firstLine="640" w:firstLineChars="200"/>
        <w:rPr>
          <w:rFonts w:ascii="仿宋" w:hAnsi="仿宋" w:eastAsia="仿宋"/>
          <w:sz w:val="32"/>
          <w:szCs w:val="32"/>
        </w:rPr>
      </w:pPr>
    </w:p>
    <w:p>
      <w:pPr>
        <w:tabs>
          <w:tab w:val="left" w:pos="495"/>
        </w:tabs>
        <w:rPr>
          <w:rFonts w:ascii="仿宋" w:hAnsi="仿宋" w:eastAsia="仿宋"/>
          <w:sz w:val="32"/>
          <w:szCs w:val="32"/>
        </w:rPr>
        <w:sectPr>
          <w:pgSz w:w="11910" w:h="16840"/>
          <w:pgMar w:top="1134" w:right="1134" w:bottom="1134" w:left="1417" w:header="794" w:footer="794" w:gutter="0"/>
          <w:cols w:space="720" w:num="1"/>
        </w:sectPr>
      </w:pPr>
      <w:r>
        <w:rPr>
          <w:rFonts w:ascii="仿宋" w:hAnsi="仿宋" w:eastAsia="仿宋"/>
          <w:sz w:val="32"/>
          <w:szCs w:val="32"/>
        </w:rPr>
        <w:tab/>
      </w:r>
    </w:p>
    <w:p>
      <w:pPr>
        <w:pStyle w:val="4"/>
        <w:spacing w:before="7"/>
        <w:jc w:val="center"/>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投标人信誉情况</w:t>
      </w:r>
    </w:p>
    <w:p>
      <w:pPr>
        <w:pStyle w:val="4"/>
        <w:spacing w:line="360" w:lineRule="auto"/>
        <w:ind w:firstLine="640" w:firstLineChars="200"/>
        <w:rPr>
          <w:rFonts w:ascii="仿宋" w:hAnsi="仿宋" w:eastAsia="仿宋"/>
          <w:sz w:val="32"/>
          <w:szCs w:val="32"/>
        </w:rPr>
      </w:pPr>
    </w:p>
    <w:p>
      <w:pPr>
        <w:spacing w:line="560" w:lineRule="atLeast"/>
        <w:ind w:firstLine="560" w:firstLineChars="200"/>
        <w:rPr>
          <w:rFonts w:ascii="仿宋" w:hAnsi="仿宋" w:eastAsia="仿宋"/>
          <w:kern w:val="0"/>
          <w:sz w:val="28"/>
          <w:szCs w:val="28"/>
        </w:rPr>
      </w:pPr>
      <w:r>
        <w:rPr>
          <w:rFonts w:ascii="仿宋" w:hAnsi="仿宋" w:eastAsia="仿宋"/>
          <w:sz w:val="28"/>
          <w:szCs w:val="28"/>
        </w:rPr>
        <w:t>1</w:t>
      </w:r>
      <w:r>
        <w:rPr>
          <w:rFonts w:hint="eastAsia" w:ascii="仿宋" w:hAnsi="仿宋" w:eastAsia="仿宋"/>
          <w:sz w:val="28"/>
          <w:szCs w:val="28"/>
        </w:rPr>
        <w:t>.在“信用中国”网站（</w:t>
      </w:r>
      <w:r>
        <w:rPr>
          <w:rFonts w:hint="eastAsia" w:ascii="仿宋" w:hAnsi="仿宋" w:eastAsia="仿宋" w:cs="宋体"/>
          <w:sz w:val="28"/>
          <w:szCs w:val="28"/>
        </w:rPr>
        <w:t>http：//www.creditchina.gov.cn/</w:t>
      </w:r>
      <w:r>
        <w:rPr>
          <w:rFonts w:hint="eastAsia" w:ascii="仿宋" w:hAnsi="仿宋" w:eastAsia="仿宋"/>
          <w:sz w:val="28"/>
          <w:szCs w:val="28"/>
        </w:rPr>
        <w:t>）中</w:t>
      </w:r>
      <w:r>
        <w:rPr>
          <w:rFonts w:ascii="仿宋" w:hAnsi="仿宋" w:eastAsia="仿宋"/>
          <w:sz w:val="28"/>
          <w:szCs w:val="28"/>
        </w:rPr>
        <w:t>末被列入失信被执行人名单的查询截图资料</w:t>
      </w:r>
      <w:r>
        <w:rPr>
          <w:rFonts w:hint="eastAsia" w:ascii="仿宋" w:hAnsi="仿宋" w:eastAsia="仿宋"/>
          <w:sz w:val="28"/>
          <w:szCs w:val="28"/>
        </w:rPr>
        <w:t>；</w:t>
      </w: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2.投标人（单位）或法定代表人、项目负责人、技术负责人近三年（在20</w:t>
      </w:r>
      <w:r>
        <w:rPr>
          <w:rFonts w:hint="eastAsia" w:ascii="仿宋" w:hAnsi="仿宋" w:eastAsia="仿宋"/>
          <w:sz w:val="28"/>
          <w:szCs w:val="28"/>
          <w:lang w:val="en-US" w:eastAsia="zh-CN"/>
        </w:rPr>
        <w:t>21</w:t>
      </w:r>
      <w:r>
        <w:rPr>
          <w:rFonts w:hint="eastAsia" w:ascii="仿宋" w:hAnsi="仿宋" w:eastAsia="仿宋"/>
          <w:sz w:val="28"/>
          <w:szCs w:val="28"/>
        </w:rPr>
        <w:t>年 1 月 1 日至本项目招标公告发布日之间有行贿犯罪档案记录的，招标人不接受其投标（后附无行贿犯罪记录的承诺函格式）。</w:t>
      </w:r>
    </w:p>
    <w:p>
      <w:pPr>
        <w:spacing w:line="560" w:lineRule="atLeast"/>
        <w:ind w:firstLine="560" w:firstLineChars="200"/>
        <w:jc w:val="center"/>
        <w:rPr>
          <w:rFonts w:ascii="仿宋" w:hAnsi="仿宋" w:eastAsia="仿宋"/>
          <w:bCs/>
          <w:sz w:val="28"/>
          <w:szCs w:val="28"/>
        </w:rPr>
      </w:pPr>
    </w:p>
    <w:p>
      <w:pPr>
        <w:tabs>
          <w:tab w:val="center" w:pos="4153"/>
        </w:tabs>
        <w:rPr>
          <w:rFonts w:ascii="仿宋" w:hAnsi="仿宋" w:eastAsia="仿宋"/>
          <w:sz w:val="32"/>
          <w:szCs w:val="32"/>
        </w:rPr>
        <w:sectPr>
          <w:pgSz w:w="11906" w:h="16838"/>
          <w:pgMar w:top="1440" w:right="1800" w:bottom="1440" w:left="1800" w:header="851" w:footer="992" w:gutter="0"/>
          <w:cols w:space="720" w:num="1"/>
          <w:docGrid w:type="lines" w:linePitch="312" w:charSpace="0"/>
        </w:sectPr>
      </w:pPr>
      <w:r>
        <w:rPr>
          <w:rFonts w:ascii="仿宋" w:hAnsi="仿宋" w:eastAsia="仿宋"/>
          <w:sz w:val="32"/>
          <w:szCs w:val="32"/>
        </w:rPr>
        <w:tab/>
      </w:r>
    </w:p>
    <w:p>
      <w:pPr>
        <w:ind w:firstLine="640" w:firstLineChars="200"/>
        <w:jc w:val="left"/>
        <w:rPr>
          <w:rFonts w:ascii="仿宋" w:hAnsi="仿宋" w:eastAsia="仿宋"/>
          <w:sz w:val="32"/>
          <w:szCs w:val="32"/>
        </w:rPr>
      </w:pPr>
    </w:p>
    <w:p>
      <w:pPr>
        <w:pStyle w:val="4"/>
        <w:spacing w:before="7"/>
        <w:jc w:val="center"/>
        <w:rPr>
          <w:rFonts w:ascii="仿宋" w:hAnsi="仿宋" w:eastAsia="仿宋"/>
          <w:b/>
          <w:sz w:val="32"/>
          <w:szCs w:val="32"/>
        </w:rPr>
      </w:pPr>
      <w:r>
        <w:rPr>
          <w:rFonts w:hint="eastAsia" w:ascii="仿宋" w:hAnsi="仿宋" w:eastAsia="仿宋"/>
          <w:b/>
          <w:sz w:val="32"/>
          <w:szCs w:val="32"/>
        </w:rPr>
        <w:t>五、无</w:t>
      </w:r>
      <w:r>
        <w:rPr>
          <w:rFonts w:ascii="仿宋" w:hAnsi="仿宋" w:eastAsia="仿宋"/>
          <w:b/>
          <w:sz w:val="32"/>
          <w:szCs w:val="32"/>
        </w:rPr>
        <w:t>行贿犯罪档案记录承诺函</w:t>
      </w:r>
    </w:p>
    <w:p>
      <w:pPr>
        <w:pStyle w:val="4"/>
        <w:rPr>
          <w:rFonts w:ascii="仿宋" w:hAnsi="仿宋" w:eastAsia="仿宋"/>
          <w:b/>
          <w:sz w:val="32"/>
          <w:szCs w:val="32"/>
        </w:rPr>
      </w:pPr>
    </w:p>
    <w:p>
      <w:pPr>
        <w:pStyle w:val="4"/>
        <w:spacing w:line="560" w:lineRule="atLeast"/>
        <w:rPr>
          <w:rFonts w:hint="eastAsia" w:ascii="仿宋" w:hAnsi="仿宋" w:eastAsia="仿宋"/>
          <w:sz w:val="28"/>
          <w:szCs w:val="28"/>
          <w:lang w:eastAsia="zh-CN"/>
        </w:rPr>
      </w:pPr>
      <w:r>
        <w:rPr>
          <w:rFonts w:hint="eastAsia" w:ascii="仿宋" w:hAnsi="仿宋" w:eastAsia="仿宋"/>
          <w:sz w:val="28"/>
          <w:szCs w:val="28"/>
          <w:u w:val="single"/>
          <w:lang w:eastAsia="zh-CN"/>
        </w:rPr>
        <w:t>四川秦巴高速公路有限责任公司</w:t>
      </w:r>
    </w:p>
    <w:p>
      <w:pPr>
        <w:pStyle w:val="4"/>
        <w:tabs>
          <w:tab w:val="left" w:pos="1416"/>
          <w:tab w:val="left" w:pos="3053"/>
          <w:tab w:val="left" w:pos="6601"/>
        </w:tabs>
        <w:spacing w:line="560" w:lineRule="atLeast"/>
        <w:ind w:firstLine="560" w:firstLineChars="200"/>
        <w:rPr>
          <w:rFonts w:ascii="仿宋" w:hAnsi="仿宋" w:eastAsia="仿宋"/>
          <w:sz w:val="28"/>
          <w:szCs w:val="28"/>
        </w:rPr>
      </w:pPr>
      <w:r>
        <w:rPr>
          <w:rFonts w:hint="eastAsia" w:ascii="仿宋" w:hAnsi="仿宋" w:eastAsia="仿宋"/>
          <w:sz w:val="28"/>
          <w:szCs w:val="28"/>
        </w:rPr>
        <w:t>我公司（投标人名称）、法定代表人（姓名）</w:t>
      </w:r>
      <w:r>
        <w:rPr>
          <w:rFonts w:hint="eastAsia" w:ascii="仿宋" w:hAnsi="仿宋" w:eastAsia="仿宋"/>
          <w:sz w:val="28"/>
          <w:szCs w:val="28"/>
          <w:u w:val="single"/>
        </w:rPr>
        <w:t>（身份证号）</w:t>
      </w:r>
      <w:r>
        <w:rPr>
          <w:rFonts w:hint="eastAsia" w:ascii="仿宋" w:hAnsi="仿宋" w:eastAsia="仿宋"/>
          <w:sz w:val="28"/>
          <w:szCs w:val="28"/>
        </w:rPr>
        <w:t>项目负责人（姓名）</w:t>
      </w:r>
      <w:r>
        <w:rPr>
          <w:rFonts w:hint="eastAsia" w:ascii="仿宋" w:hAnsi="仿宋" w:eastAsia="仿宋"/>
          <w:sz w:val="28"/>
          <w:szCs w:val="28"/>
          <w:u w:val="single"/>
        </w:rPr>
        <w:t>（身份证号）</w:t>
      </w:r>
      <w:r>
        <w:rPr>
          <w:rFonts w:hint="eastAsia" w:ascii="仿宋" w:hAnsi="仿宋" w:eastAsia="仿宋"/>
          <w:sz w:val="28"/>
          <w:szCs w:val="28"/>
        </w:rPr>
        <w:t>在 20</w:t>
      </w:r>
      <w:r>
        <w:rPr>
          <w:rFonts w:hint="eastAsia" w:ascii="仿宋" w:hAnsi="仿宋" w:eastAsia="仿宋"/>
          <w:sz w:val="28"/>
          <w:szCs w:val="28"/>
          <w:lang w:val="en-US" w:eastAsia="zh-CN"/>
        </w:rPr>
        <w:t>21</w:t>
      </w:r>
      <w:r>
        <w:rPr>
          <w:rFonts w:hint="eastAsia" w:ascii="仿宋" w:hAnsi="仿宋" w:eastAsia="仿宋"/>
          <w:sz w:val="28"/>
          <w:szCs w:val="28"/>
        </w:rPr>
        <w:t xml:space="preserve"> 年 1 月 1 日至本项目招标公告发布日之间，承诺无行贿犯罪档案记录。若存在隐瞒的，在中国裁判文书网（</w:t>
      </w:r>
      <w:r>
        <w:fldChar w:fldCharType="begin"/>
      </w:r>
      <w:r>
        <w:instrText xml:space="preserve"> HYPERLINK "http://wenshu.court.gov.cn/" \h </w:instrText>
      </w:r>
      <w:r>
        <w:fldChar w:fldCharType="separate"/>
      </w:r>
      <w:r>
        <w:rPr>
          <w:rFonts w:hint="eastAsia" w:ascii="仿宋" w:hAnsi="仿宋" w:eastAsia="仿宋"/>
          <w:sz w:val="28"/>
          <w:szCs w:val="28"/>
        </w:rPr>
        <w:t>http：//wenshu.court.gov.cn</w:t>
      </w:r>
      <w:r>
        <w:rPr>
          <w:rFonts w:hint="eastAsia" w:ascii="仿宋" w:hAnsi="仿宋" w:eastAsia="仿宋"/>
          <w:sz w:val="28"/>
          <w:szCs w:val="28"/>
        </w:rPr>
        <w:fldChar w:fldCharType="end"/>
      </w:r>
      <w:r>
        <w:rPr>
          <w:rFonts w:hint="eastAsia" w:ascii="仿宋" w:hAnsi="仿宋" w:eastAsia="仿宋"/>
          <w:sz w:val="28"/>
          <w:szCs w:val="28"/>
        </w:rPr>
        <w:t>）上一经查实将不通过资格审查。若在评审后被查实的可取消其中标候选人或中标人资格。</w:t>
      </w:r>
    </w:p>
    <w:p>
      <w:pPr>
        <w:pStyle w:val="4"/>
        <w:spacing w:line="560" w:lineRule="atLeast"/>
        <w:ind w:firstLine="560" w:firstLineChars="200"/>
        <w:rPr>
          <w:rFonts w:ascii="仿宋" w:hAnsi="仿宋" w:eastAsia="仿宋"/>
          <w:sz w:val="28"/>
          <w:szCs w:val="28"/>
        </w:rPr>
      </w:pPr>
    </w:p>
    <w:p>
      <w:pPr>
        <w:pStyle w:val="4"/>
        <w:spacing w:line="560" w:lineRule="atLeast"/>
        <w:ind w:firstLine="560" w:firstLineChars="200"/>
        <w:rPr>
          <w:rFonts w:ascii="仿宋" w:hAnsi="仿宋" w:eastAsia="仿宋"/>
          <w:sz w:val="28"/>
          <w:szCs w:val="28"/>
        </w:rPr>
      </w:pPr>
      <w:r>
        <w:rPr>
          <w:rFonts w:hint="eastAsia" w:ascii="仿宋" w:hAnsi="仿宋" w:eastAsia="仿宋"/>
          <w:sz w:val="28"/>
          <w:szCs w:val="28"/>
        </w:rPr>
        <w:t>特此承诺。</w:t>
      </w:r>
    </w:p>
    <w:p>
      <w:pPr>
        <w:pStyle w:val="4"/>
        <w:spacing w:line="560" w:lineRule="atLeast"/>
        <w:ind w:firstLine="560" w:firstLineChars="200"/>
        <w:rPr>
          <w:rFonts w:ascii="仿宋" w:hAnsi="仿宋" w:eastAsia="仿宋"/>
          <w:sz w:val="28"/>
          <w:szCs w:val="28"/>
        </w:rPr>
      </w:pPr>
    </w:p>
    <w:p>
      <w:pPr>
        <w:pStyle w:val="4"/>
        <w:spacing w:line="560" w:lineRule="atLeast"/>
        <w:ind w:firstLine="560" w:firstLineChars="200"/>
        <w:rPr>
          <w:rFonts w:ascii="仿宋" w:hAnsi="仿宋" w:eastAsia="仿宋"/>
          <w:sz w:val="28"/>
          <w:szCs w:val="28"/>
        </w:rPr>
      </w:pPr>
    </w:p>
    <w:p>
      <w:pPr>
        <w:pStyle w:val="4"/>
        <w:tabs>
          <w:tab w:val="left" w:pos="8344"/>
        </w:tabs>
        <w:spacing w:line="560" w:lineRule="atLeast"/>
        <w:ind w:left="5440" w:leftChars="1700" w:firstLine="560" w:firstLineChars="200"/>
        <w:rPr>
          <w:rFonts w:ascii="仿宋" w:hAnsi="仿宋" w:eastAsia="仿宋"/>
          <w:sz w:val="28"/>
          <w:szCs w:val="28"/>
        </w:rPr>
      </w:pPr>
      <w:r>
        <w:rPr>
          <w:rFonts w:hint="eastAsia" w:ascii="仿宋" w:hAnsi="仿宋" w:eastAsia="仿宋"/>
          <w:sz w:val="28"/>
          <w:szCs w:val="28"/>
        </w:rPr>
        <w:t>投标人：（盖单位章）</w:t>
      </w:r>
    </w:p>
    <w:p>
      <w:pPr>
        <w:pStyle w:val="4"/>
        <w:tabs>
          <w:tab w:val="left" w:pos="8661"/>
        </w:tabs>
        <w:spacing w:line="560" w:lineRule="atLeast"/>
        <w:jc w:val="right"/>
        <w:rPr>
          <w:rFonts w:ascii="仿宋" w:hAnsi="仿宋" w:eastAsia="仿宋"/>
          <w:sz w:val="28"/>
          <w:szCs w:val="28"/>
        </w:rPr>
      </w:pPr>
      <w:r>
        <w:rPr>
          <w:rFonts w:hint="eastAsia" w:ascii="仿宋" w:hAnsi="仿宋" w:eastAsia="仿宋"/>
          <w:sz w:val="28"/>
          <w:szCs w:val="28"/>
        </w:rPr>
        <w:t>法定代表人或其委托代理人：（签字）</w:t>
      </w:r>
    </w:p>
    <w:p>
      <w:pPr>
        <w:spacing w:line="480" w:lineRule="auto"/>
        <w:ind w:left="5440" w:leftChars="1700" w:firstLine="640" w:firstLineChars="200"/>
        <w:rPr>
          <w:rFonts w:ascii="仿宋" w:hAnsi="仿宋" w:eastAsia="仿宋"/>
          <w:sz w:val="32"/>
          <w:szCs w:val="32"/>
        </w:rPr>
      </w:pPr>
    </w:p>
    <w:p>
      <w:pPr>
        <w:spacing w:line="480" w:lineRule="auto"/>
        <w:jc w:val="right"/>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sz w:val="32"/>
          <w:szCs w:val="32"/>
        </w:rPr>
      </w:pPr>
      <w:r>
        <w:rPr>
          <w:rFonts w:hint="eastAsia" w:ascii="仿宋" w:hAnsi="仿宋" w:eastAsia="仿宋"/>
          <w:sz w:val="32"/>
          <w:szCs w:val="32"/>
        </w:rPr>
        <w:br w:type="page"/>
      </w:r>
    </w:p>
    <w:p>
      <w:pPr>
        <w:pStyle w:val="4"/>
      </w:pPr>
    </w:p>
    <w:p>
      <w:pPr>
        <w:jc w:val="center"/>
        <w:rPr>
          <w:rFonts w:ascii="仿宋" w:hAnsi="仿宋" w:eastAsia="仿宋"/>
          <w:b/>
          <w:sz w:val="32"/>
          <w:szCs w:val="32"/>
        </w:rPr>
      </w:pPr>
      <w:r>
        <w:rPr>
          <w:rFonts w:hint="eastAsia" w:ascii="仿宋" w:hAnsi="仿宋" w:eastAsia="仿宋"/>
          <w:b/>
          <w:sz w:val="32"/>
          <w:szCs w:val="32"/>
        </w:rPr>
        <w:t>六、技术建议书</w:t>
      </w:r>
    </w:p>
    <w:p>
      <w:pPr>
        <w:pStyle w:val="4"/>
        <w:spacing w:line="360" w:lineRule="auto"/>
        <w:rPr>
          <w:rFonts w:ascii="仿宋" w:hAnsi="仿宋" w:eastAsia="仿宋"/>
          <w:sz w:val="32"/>
          <w:szCs w:val="32"/>
        </w:rPr>
      </w:pPr>
    </w:p>
    <w:p>
      <w:pPr>
        <w:pStyle w:val="4"/>
        <w:spacing w:line="360" w:lineRule="auto"/>
        <w:rPr>
          <w:rFonts w:ascii="仿宋" w:hAnsi="仿宋" w:eastAsia="仿宋"/>
          <w:sz w:val="28"/>
          <w:szCs w:val="28"/>
        </w:rPr>
      </w:pPr>
      <w:r>
        <w:rPr>
          <w:rFonts w:ascii="仿宋" w:hAnsi="仿宋" w:eastAsia="仿宋"/>
          <w:sz w:val="28"/>
          <w:szCs w:val="28"/>
        </w:rPr>
        <w:t>技术建议书应包括但不限于以下内容：</w:t>
      </w:r>
    </w:p>
    <w:p>
      <w:pPr>
        <w:rPr>
          <w:rFonts w:ascii="仿宋" w:hAnsi="仿宋" w:eastAsia="仿宋"/>
          <w:b/>
          <w:bCs/>
          <w:sz w:val="28"/>
          <w:szCs w:val="28"/>
        </w:rPr>
      </w:pPr>
      <w:r>
        <w:rPr>
          <w:rFonts w:ascii="仿宋" w:hAnsi="仿宋" w:eastAsia="仿宋"/>
          <w:b/>
          <w:bCs/>
          <w:sz w:val="28"/>
          <w:szCs w:val="28"/>
        </w:rPr>
        <w:t>（一）</w:t>
      </w:r>
      <w:r>
        <w:rPr>
          <w:rFonts w:hint="eastAsia" w:ascii="仿宋" w:hAnsi="仿宋" w:eastAsia="仿宋"/>
          <w:b/>
          <w:bCs/>
          <w:sz w:val="28"/>
          <w:szCs w:val="28"/>
        </w:rPr>
        <w:t>对招标项目的理解</w:t>
      </w:r>
    </w:p>
    <w:p>
      <w:pPr>
        <w:rPr>
          <w:rFonts w:ascii="仿宋" w:hAnsi="仿宋" w:eastAsia="仿宋"/>
          <w:b/>
          <w:bCs/>
          <w:sz w:val="28"/>
          <w:szCs w:val="28"/>
        </w:rPr>
      </w:pPr>
      <w:r>
        <w:rPr>
          <w:rFonts w:hint="eastAsia" w:ascii="仿宋" w:hAnsi="仿宋" w:eastAsia="仿宋"/>
          <w:b/>
          <w:bCs/>
          <w:sz w:val="28"/>
          <w:szCs w:val="28"/>
        </w:rPr>
        <w:t>（二）质量保证措施</w:t>
      </w:r>
    </w:p>
    <w:p>
      <w:pPr>
        <w:rPr>
          <w:rFonts w:ascii="仿宋" w:hAnsi="仿宋" w:eastAsia="仿宋"/>
          <w:b/>
          <w:bCs/>
          <w:sz w:val="28"/>
          <w:szCs w:val="28"/>
        </w:rPr>
      </w:pPr>
      <w:r>
        <w:rPr>
          <w:rFonts w:hint="eastAsia" w:ascii="仿宋" w:hAnsi="仿宋" w:eastAsia="仿宋"/>
          <w:b/>
          <w:bCs/>
          <w:sz w:val="28"/>
          <w:szCs w:val="28"/>
        </w:rPr>
        <w:t>（三）对本项目的建议</w:t>
      </w:r>
    </w:p>
    <w:p>
      <w:pPr>
        <w:ind w:firstLine="3078" w:firstLineChars="1095"/>
        <w:rPr>
          <w:rFonts w:ascii="仿宋" w:hAnsi="仿宋" w:eastAsia="仿宋"/>
          <w:b/>
          <w:sz w:val="28"/>
          <w:szCs w:val="28"/>
        </w:rPr>
        <w:sectPr>
          <w:headerReference r:id="rId5" w:type="default"/>
          <w:pgSz w:w="11910" w:h="16840"/>
          <w:pgMar w:top="1134" w:right="1134" w:bottom="1134" w:left="1417" w:header="794" w:footer="794" w:gutter="0"/>
          <w:cols w:space="720" w:num="1"/>
        </w:sectPr>
      </w:pPr>
    </w:p>
    <w:p>
      <w:pPr>
        <w:numPr>
          <w:ilvl w:val="0"/>
          <w:numId w:val="6"/>
        </w:numPr>
        <w:jc w:val="center"/>
        <w:rPr>
          <w:rFonts w:ascii="仿宋" w:hAnsi="仿宋" w:eastAsia="仿宋"/>
          <w:b/>
          <w:sz w:val="32"/>
          <w:szCs w:val="32"/>
        </w:rPr>
      </w:pPr>
      <w:r>
        <w:rPr>
          <w:rFonts w:hint="eastAsia" w:ascii="仿宋" w:hAnsi="仿宋" w:eastAsia="仿宋"/>
          <w:b/>
          <w:sz w:val="32"/>
          <w:szCs w:val="32"/>
        </w:rPr>
        <w:t>业绩证明</w:t>
      </w:r>
    </w:p>
    <w:p>
      <w:pPr>
        <w:pStyle w:val="11"/>
        <w:ind w:firstLineChars="150"/>
      </w:pPr>
      <w:r>
        <w:rPr>
          <w:rFonts w:hint="eastAsia" w:ascii="仿宋" w:hAnsi="仿宋" w:eastAsia="仿宋"/>
          <w:szCs w:val="28"/>
        </w:rPr>
        <w:t>提供近3年（20</w:t>
      </w:r>
      <w:r>
        <w:rPr>
          <w:rFonts w:hint="eastAsia" w:ascii="仿宋" w:hAnsi="仿宋" w:eastAsia="仿宋"/>
          <w:szCs w:val="28"/>
          <w:lang w:val="en-US" w:eastAsia="zh-CN"/>
        </w:rPr>
        <w:t>21</w:t>
      </w:r>
      <w:r>
        <w:rPr>
          <w:rFonts w:hint="eastAsia" w:ascii="仿宋" w:hAnsi="仿宋" w:eastAsia="仿宋"/>
          <w:szCs w:val="28"/>
        </w:rPr>
        <w:t>年1月1日起）合同金额在5万元以上的公路行业或类似</w:t>
      </w:r>
      <w:r>
        <w:rPr>
          <w:rFonts w:hint="eastAsia" w:ascii="仿宋" w:hAnsi="仿宋" w:eastAsia="仿宋"/>
          <w:szCs w:val="28"/>
          <w:lang w:eastAsia="zh-CN"/>
        </w:rPr>
        <w:t>检测</w:t>
      </w:r>
      <w:r>
        <w:rPr>
          <w:rFonts w:hint="eastAsia" w:ascii="仿宋" w:hAnsi="仿宋" w:eastAsia="仿宋"/>
          <w:szCs w:val="28"/>
        </w:rPr>
        <w:t>服务合同业绩至少一个（复印件加盖公章）；</w:t>
      </w:r>
    </w:p>
    <w:p>
      <w:pPr>
        <w:rPr>
          <w:rFonts w:ascii="仿宋" w:hAnsi="仿宋" w:eastAsia="仿宋"/>
          <w:b/>
          <w:sz w:val="32"/>
          <w:szCs w:val="32"/>
        </w:rPr>
      </w:pPr>
      <w:r>
        <w:rPr>
          <w:rFonts w:hint="eastAsia" w:ascii="仿宋" w:hAnsi="仿宋" w:eastAsia="仿宋"/>
          <w:b/>
          <w:sz w:val="32"/>
          <w:szCs w:val="32"/>
        </w:rPr>
        <w:br w:type="page"/>
      </w:r>
    </w:p>
    <w:p>
      <w:pP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lang w:eastAsia="zh-CN"/>
        </w:rPr>
        <w:t>八</w:t>
      </w:r>
      <w:r>
        <w:rPr>
          <w:rFonts w:hint="eastAsia" w:ascii="仿宋" w:hAnsi="仿宋" w:eastAsia="仿宋"/>
          <w:b/>
          <w:sz w:val="32"/>
          <w:szCs w:val="32"/>
        </w:rPr>
        <w:t>、其他资料</w:t>
      </w:r>
    </w:p>
    <w:p>
      <w:pPr>
        <w:jc w:val="left"/>
        <w:rPr>
          <w:rFonts w:ascii="仿宋" w:hAnsi="仿宋" w:eastAsia="仿宋"/>
          <w:b/>
          <w:sz w:val="32"/>
          <w:szCs w:val="32"/>
        </w:rPr>
      </w:pPr>
    </w:p>
    <w:p>
      <w:pPr>
        <w:pStyle w:val="32"/>
        <w:tabs>
          <w:tab w:val="left" w:pos="958"/>
        </w:tabs>
        <w:ind w:left="640" w:leftChars="200" w:firstLine="0" w:firstLineChars="0"/>
      </w:pPr>
      <w:r>
        <w:rPr>
          <w:rFonts w:hint="eastAsia" w:ascii="仿宋" w:hAnsi="仿宋" w:eastAsia="仿宋"/>
          <w:sz w:val="28"/>
          <w:szCs w:val="28"/>
        </w:rPr>
        <w:t>投标人提供的其他材料（若有）</w:t>
      </w:r>
    </w:p>
    <w:p/>
    <w:p/>
    <w:sectPr>
      <w:headerReference r:id="rId6" w:type="default"/>
      <w:footerReference r:id="rId7" w:type="default"/>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96850"/>
                      </a:xfrm>
                      <a:prstGeom prst="rect">
                        <a:avLst/>
                      </a:prstGeom>
                      <a:noFill/>
                      <a:ln>
                        <a:noFill/>
                      </a:ln>
                      <a:effectLst/>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&#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Nb9+dAAAAADAQAADwAAAAAAAAABACAAAAAiAAAA&#10;ZHJzL2Rvd25yZXYueG1sUEsBAhQAFAAAAAgAh07iQMLRaycPAgAAEAQAAA4AAAAAAAAAAQAgAAAA&#10;HwEAAGRycy9lMm9Eb2MueG1sUEsFBgAAAAAGAAYAWQEAAKA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3668395</wp:posOffset>
              </wp:positionH>
              <wp:positionV relativeFrom="page">
                <wp:posOffset>9791700</wp:posOffset>
              </wp:positionV>
              <wp:extent cx="222250" cy="152400"/>
              <wp:effectExtent l="0" t="0" r="0" b="0"/>
              <wp:wrapNone/>
              <wp:docPr id="40" name="文本框 2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17</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88.85pt;margin-top:771pt;height:12pt;width:17.5pt;mso-position-horizontal-relative:page;mso-position-vertical-relative:page;z-index:-251657216;mso-width-relative:page;mso-height-relative:page;" filled="f" stroked="f" coordsize="21600,21600" o:gfxdata="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AfeIzaAAAADQEAAA8AAAAAAAAAAQAgAAAAIgAAAGRycy9kb3ducmV2&#10;LnhtbFBLAQIUABQAAAAIAIdO4kAUb0fTwQEAAHwDAAAOAAAAAAAAAAEAIAAAACkBAABkcnMvZTJv&#10;RG9jLnhtbFBLBQYAAAAABgAGAFkBAABcBQ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C34"/>
    <w:multiLevelType w:val="singleLevel"/>
    <w:tmpl w:val="91612C34"/>
    <w:lvl w:ilvl="0" w:tentative="0">
      <w:start w:val="1"/>
      <w:numFmt w:val="decimal"/>
      <w:suff w:val="nothing"/>
      <w:lvlText w:val="（%1）"/>
      <w:lvlJc w:val="left"/>
    </w:lvl>
  </w:abstractNum>
  <w:abstractNum w:abstractNumId="1">
    <w:nsid w:val="92D29DD4"/>
    <w:multiLevelType w:val="singleLevel"/>
    <w:tmpl w:val="92D29DD4"/>
    <w:lvl w:ilvl="0" w:tentative="0">
      <w:start w:val="7"/>
      <w:numFmt w:val="chineseCounting"/>
      <w:suff w:val="nothing"/>
      <w:lvlText w:val="%1、"/>
      <w:lvlJc w:val="left"/>
      <w:rPr>
        <w:rFonts w:hint="eastAsia"/>
      </w:rPr>
    </w:lvl>
  </w:abstractNum>
  <w:abstractNum w:abstractNumId="2">
    <w:nsid w:val="01527C96"/>
    <w:multiLevelType w:val="singleLevel"/>
    <w:tmpl w:val="01527C96"/>
    <w:lvl w:ilvl="0" w:tentative="0">
      <w:start w:val="2"/>
      <w:numFmt w:val="chineseCounting"/>
      <w:suff w:val="space"/>
      <w:lvlText w:val="%1、"/>
      <w:lvlJc w:val="left"/>
      <w:rPr>
        <w:rFonts w:hint="eastAsia"/>
      </w:rPr>
    </w:lvl>
  </w:abstractNum>
  <w:abstractNum w:abstractNumId="3">
    <w:nsid w:val="23715FB8"/>
    <w:multiLevelType w:val="singleLevel"/>
    <w:tmpl w:val="23715FB8"/>
    <w:lvl w:ilvl="0" w:tentative="0">
      <w:start w:val="1"/>
      <w:numFmt w:val="chineseCounting"/>
      <w:suff w:val="nothing"/>
      <w:lvlText w:val="（%1）"/>
      <w:lvlJc w:val="left"/>
      <w:pPr>
        <w:ind w:left="0" w:firstLine="0"/>
      </w:pPr>
    </w:lvl>
  </w:abstractNum>
  <w:abstractNum w:abstractNumId="4">
    <w:nsid w:val="260848F1"/>
    <w:multiLevelType w:val="singleLevel"/>
    <w:tmpl w:val="260848F1"/>
    <w:lvl w:ilvl="0" w:tentative="0">
      <w:start w:val="1"/>
      <w:numFmt w:val="chineseCounting"/>
      <w:suff w:val="space"/>
      <w:lvlText w:val="第%1章"/>
      <w:lvlJc w:val="left"/>
      <w:rPr>
        <w:rFonts w:hint="eastAsia"/>
      </w:rPr>
    </w:lvl>
  </w:abstractNum>
  <w:abstractNum w:abstractNumId="5">
    <w:nsid w:val="667F90B7"/>
    <w:multiLevelType w:val="singleLevel"/>
    <w:tmpl w:val="667F90B7"/>
    <w:lvl w:ilvl="0" w:tentative="0">
      <w:start w:val="1"/>
      <w:numFmt w:val="chineseCounting"/>
      <w:suff w:val="nothing"/>
      <w:lvlText w:val="（%1）"/>
      <w:lvlJc w:val="left"/>
      <w:pPr>
        <w:ind w:left="-420" w:firstLine="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OTE1MTczZjU0Zjk1Y2Q1MTgyZDQ3NjAwNDZlNjUifQ=="/>
    <w:docVar w:name="KGWebUrl" w:val="http://cgoa.scgsdsj.com:20383/seeyon/officeservlet"/>
  </w:docVars>
  <w:rsids>
    <w:rsidRoot w:val="00525523"/>
    <w:rsid w:val="0005577F"/>
    <w:rsid w:val="000C162D"/>
    <w:rsid w:val="000F3359"/>
    <w:rsid w:val="000F5A44"/>
    <w:rsid w:val="00136721"/>
    <w:rsid w:val="001D4120"/>
    <w:rsid w:val="001F5133"/>
    <w:rsid w:val="002C2DFB"/>
    <w:rsid w:val="002D5DBC"/>
    <w:rsid w:val="003740B8"/>
    <w:rsid w:val="003754D4"/>
    <w:rsid w:val="003C16F5"/>
    <w:rsid w:val="003D6A53"/>
    <w:rsid w:val="00411EC4"/>
    <w:rsid w:val="00422F53"/>
    <w:rsid w:val="0046050D"/>
    <w:rsid w:val="004B6DDE"/>
    <w:rsid w:val="00525523"/>
    <w:rsid w:val="005369C5"/>
    <w:rsid w:val="00555C32"/>
    <w:rsid w:val="005E2830"/>
    <w:rsid w:val="006049F3"/>
    <w:rsid w:val="00645016"/>
    <w:rsid w:val="007B2E65"/>
    <w:rsid w:val="007C2DC1"/>
    <w:rsid w:val="007F7170"/>
    <w:rsid w:val="008D4EE8"/>
    <w:rsid w:val="00904CBE"/>
    <w:rsid w:val="009E16C0"/>
    <w:rsid w:val="00A2525D"/>
    <w:rsid w:val="00AC3743"/>
    <w:rsid w:val="00CA57B3"/>
    <w:rsid w:val="00D237DE"/>
    <w:rsid w:val="00DA6FC8"/>
    <w:rsid w:val="00E234B4"/>
    <w:rsid w:val="00E30036"/>
    <w:rsid w:val="00EE7091"/>
    <w:rsid w:val="00F51494"/>
    <w:rsid w:val="00F8086F"/>
    <w:rsid w:val="025B3E9C"/>
    <w:rsid w:val="02961E70"/>
    <w:rsid w:val="03182A76"/>
    <w:rsid w:val="04261CA2"/>
    <w:rsid w:val="04D74A35"/>
    <w:rsid w:val="052D4EEB"/>
    <w:rsid w:val="074F1149"/>
    <w:rsid w:val="07750484"/>
    <w:rsid w:val="07824CBE"/>
    <w:rsid w:val="07D433FC"/>
    <w:rsid w:val="07D5166E"/>
    <w:rsid w:val="08E92B51"/>
    <w:rsid w:val="098962B5"/>
    <w:rsid w:val="09AD7A2C"/>
    <w:rsid w:val="0A2E773B"/>
    <w:rsid w:val="0A473846"/>
    <w:rsid w:val="0AD57BB7"/>
    <w:rsid w:val="0B561AB4"/>
    <w:rsid w:val="0BFD150A"/>
    <w:rsid w:val="0C3C09BC"/>
    <w:rsid w:val="0C6D2071"/>
    <w:rsid w:val="0CA041F5"/>
    <w:rsid w:val="0CD55AD2"/>
    <w:rsid w:val="0E3C0FF6"/>
    <w:rsid w:val="0E4617CA"/>
    <w:rsid w:val="0F300657"/>
    <w:rsid w:val="0F5F0397"/>
    <w:rsid w:val="0F846B80"/>
    <w:rsid w:val="0F964442"/>
    <w:rsid w:val="10715002"/>
    <w:rsid w:val="10F24FAF"/>
    <w:rsid w:val="1182036D"/>
    <w:rsid w:val="12117C8E"/>
    <w:rsid w:val="12DB4B97"/>
    <w:rsid w:val="12DE36EF"/>
    <w:rsid w:val="144759F9"/>
    <w:rsid w:val="14916DF2"/>
    <w:rsid w:val="15D14C7A"/>
    <w:rsid w:val="1654706A"/>
    <w:rsid w:val="1730785A"/>
    <w:rsid w:val="18A801B1"/>
    <w:rsid w:val="193322A1"/>
    <w:rsid w:val="199C11D9"/>
    <w:rsid w:val="19C54965"/>
    <w:rsid w:val="19C86B39"/>
    <w:rsid w:val="1B8B192C"/>
    <w:rsid w:val="1CD41B5C"/>
    <w:rsid w:val="1D7B00C3"/>
    <w:rsid w:val="1D81494F"/>
    <w:rsid w:val="1DAB2047"/>
    <w:rsid w:val="1DBF3192"/>
    <w:rsid w:val="1E087E4C"/>
    <w:rsid w:val="1E6751B2"/>
    <w:rsid w:val="1F617854"/>
    <w:rsid w:val="1FC50C5A"/>
    <w:rsid w:val="204F3B10"/>
    <w:rsid w:val="20A02C61"/>
    <w:rsid w:val="211F1734"/>
    <w:rsid w:val="215130C6"/>
    <w:rsid w:val="21A25448"/>
    <w:rsid w:val="21D40D1C"/>
    <w:rsid w:val="22921327"/>
    <w:rsid w:val="229558FC"/>
    <w:rsid w:val="236D2F4A"/>
    <w:rsid w:val="25BD7AAA"/>
    <w:rsid w:val="265C0C8E"/>
    <w:rsid w:val="26A07F46"/>
    <w:rsid w:val="26A512D8"/>
    <w:rsid w:val="271635D9"/>
    <w:rsid w:val="27FB2EE0"/>
    <w:rsid w:val="28072D06"/>
    <w:rsid w:val="283E2A52"/>
    <w:rsid w:val="29AB373D"/>
    <w:rsid w:val="29EA70E2"/>
    <w:rsid w:val="2AA01597"/>
    <w:rsid w:val="2AB2313C"/>
    <w:rsid w:val="2B073965"/>
    <w:rsid w:val="2BB1255B"/>
    <w:rsid w:val="2BD342F7"/>
    <w:rsid w:val="2BD355F5"/>
    <w:rsid w:val="2C336309"/>
    <w:rsid w:val="2C7F577D"/>
    <w:rsid w:val="2DEA30CA"/>
    <w:rsid w:val="2E1D1C34"/>
    <w:rsid w:val="2E5E151F"/>
    <w:rsid w:val="2ED55B28"/>
    <w:rsid w:val="2EF64AF7"/>
    <w:rsid w:val="2F073385"/>
    <w:rsid w:val="2F147AA0"/>
    <w:rsid w:val="2F237725"/>
    <w:rsid w:val="303D3985"/>
    <w:rsid w:val="30613A46"/>
    <w:rsid w:val="30CF4367"/>
    <w:rsid w:val="31AB491E"/>
    <w:rsid w:val="320032D4"/>
    <w:rsid w:val="32883F93"/>
    <w:rsid w:val="32D700C1"/>
    <w:rsid w:val="33202AA9"/>
    <w:rsid w:val="333F2B29"/>
    <w:rsid w:val="336631F3"/>
    <w:rsid w:val="341E0659"/>
    <w:rsid w:val="35564A6A"/>
    <w:rsid w:val="35AB31BF"/>
    <w:rsid w:val="35E46651"/>
    <w:rsid w:val="3605661F"/>
    <w:rsid w:val="364517E5"/>
    <w:rsid w:val="36506F9E"/>
    <w:rsid w:val="37270EEB"/>
    <w:rsid w:val="37A32B62"/>
    <w:rsid w:val="37B22045"/>
    <w:rsid w:val="37CB1876"/>
    <w:rsid w:val="38E836AE"/>
    <w:rsid w:val="39480E89"/>
    <w:rsid w:val="39493829"/>
    <w:rsid w:val="39875C71"/>
    <w:rsid w:val="39E969EB"/>
    <w:rsid w:val="39ED2C91"/>
    <w:rsid w:val="3A3C5CC1"/>
    <w:rsid w:val="3A3F7E57"/>
    <w:rsid w:val="3AA66534"/>
    <w:rsid w:val="3BBF5515"/>
    <w:rsid w:val="3BD6018C"/>
    <w:rsid w:val="3BE70B67"/>
    <w:rsid w:val="3C836BC3"/>
    <w:rsid w:val="3D0A2E41"/>
    <w:rsid w:val="3D37175C"/>
    <w:rsid w:val="3D7C0B2D"/>
    <w:rsid w:val="3D8B0F12"/>
    <w:rsid w:val="3DA7049A"/>
    <w:rsid w:val="3DEA7199"/>
    <w:rsid w:val="3E175815"/>
    <w:rsid w:val="3E707C55"/>
    <w:rsid w:val="3F0B5D32"/>
    <w:rsid w:val="3F1B767C"/>
    <w:rsid w:val="3F685654"/>
    <w:rsid w:val="3F7E18C4"/>
    <w:rsid w:val="401043BA"/>
    <w:rsid w:val="40F24318"/>
    <w:rsid w:val="41EE1977"/>
    <w:rsid w:val="43D9126A"/>
    <w:rsid w:val="45B44380"/>
    <w:rsid w:val="45FD1795"/>
    <w:rsid w:val="471F326E"/>
    <w:rsid w:val="47242D51"/>
    <w:rsid w:val="48111527"/>
    <w:rsid w:val="48540BE2"/>
    <w:rsid w:val="48E275FD"/>
    <w:rsid w:val="498F0339"/>
    <w:rsid w:val="499F7EAB"/>
    <w:rsid w:val="49A1016C"/>
    <w:rsid w:val="49C16F7D"/>
    <w:rsid w:val="4A590D1A"/>
    <w:rsid w:val="4A69229C"/>
    <w:rsid w:val="4A6C2384"/>
    <w:rsid w:val="4AD36F68"/>
    <w:rsid w:val="4B12527D"/>
    <w:rsid w:val="4B486E56"/>
    <w:rsid w:val="4B5F41A3"/>
    <w:rsid w:val="4B9F1B4B"/>
    <w:rsid w:val="4BAD7646"/>
    <w:rsid w:val="4D14359B"/>
    <w:rsid w:val="4D245D27"/>
    <w:rsid w:val="4DEE162B"/>
    <w:rsid w:val="4E4F6905"/>
    <w:rsid w:val="4E8672B8"/>
    <w:rsid w:val="50284ED9"/>
    <w:rsid w:val="50854860"/>
    <w:rsid w:val="50CA4969"/>
    <w:rsid w:val="51510EA2"/>
    <w:rsid w:val="51D433F8"/>
    <w:rsid w:val="52720E14"/>
    <w:rsid w:val="52C963CA"/>
    <w:rsid w:val="52DD4E28"/>
    <w:rsid w:val="54AB4AB2"/>
    <w:rsid w:val="56126834"/>
    <w:rsid w:val="56AD5E8F"/>
    <w:rsid w:val="571D6958"/>
    <w:rsid w:val="574A5D0F"/>
    <w:rsid w:val="5A750CC9"/>
    <w:rsid w:val="5A81253D"/>
    <w:rsid w:val="5B104651"/>
    <w:rsid w:val="5B6A6121"/>
    <w:rsid w:val="5BCB1C7D"/>
    <w:rsid w:val="5C6C0FCA"/>
    <w:rsid w:val="5C6D7659"/>
    <w:rsid w:val="5D703060"/>
    <w:rsid w:val="5DD26EC2"/>
    <w:rsid w:val="5DD556BA"/>
    <w:rsid w:val="5DF254FF"/>
    <w:rsid w:val="5E0A0A9B"/>
    <w:rsid w:val="5E5A59C7"/>
    <w:rsid w:val="5F0047AA"/>
    <w:rsid w:val="5F506981"/>
    <w:rsid w:val="5F7E4EA6"/>
    <w:rsid w:val="5F842877"/>
    <w:rsid w:val="5F87001F"/>
    <w:rsid w:val="5FD90725"/>
    <w:rsid w:val="5FE1582B"/>
    <w:rsid w:val="61424A7B"/>
    <w:rsid w:val="615D7134"/>
    <w:rsid w:val="61774699"/>
    <w:rsid w:val="629578D3"/>
    <w:rsid w:val="62CC6E86"/>
    <w:rsid w:val="637569B7"/>
    <w:rsid w:val="639E0572"/>
    <w:rsid w:val="63C523E8"/>
    <w:rsid w:val="64AA443E"/>
    <w:rsid w:val="65257E81"/>
    <w:rsid w:val="659952AB"/>
    <w:rsid w:val="66E54BC4"/>
    <w:rsid w:val="68320130"/>
    <w:rsid w:val="68C50C38"/>
    <w:rsid w:val="6A1D7322"/>
    <w:rsid w:val="6AF60C84"/>
    <w:rsid w:val="6B3B620B"/>
    <w:rsid w:val="6D1479A7"/>
    <w:rsid w:val="6D257DFA"/>
    <w:rsid w:val="6D8F3247"/>
    <w:rsid w:val="6DAF0D17"/>
    <w:rsid w:val="6E331948"/>
    <w:rsid w:val="6EC36093"/>
    <w:rsid w:val="6ED7616C"/>
    <w:rsid w:val="6F443FDA"/>
    <w:rsid w:val="6F5558EE"/>
    <w:rsid w:val="712A3576"/>
    <w:rsid w:val="71996324"/>
    <w:rsid w:val="72323CC5"/>
    <w:rsid w:val="72AA3521"/>
    <w:rsid w:val="72D0689C"/>
    <w:rsid w:val="73221F8B"/>
    <w:rsid w:val="74F6547D"/>
    <w:rsid w:val="75501031"/>
    <w:rsid w:val="761B4D59"/>
    <w:rsid w:val="76831106"/>
    <w:rsid w:val="76B37ACA"/>
    <w:rsid w:val="76B92C06"/>
    <w:rsid w:val="76E54F50"/>
    <w:rsid w:val="76F47A99"/>
    <w:rsid w:val="773C44BC"/>
    <w:rsid w:val="77543DD8"/>
    <w:rsid w:val="77DB13AD"/>
    <w:rsid w:val="78BB47E9"/>
    <w:rsid w:val="79690914"/>
    <w:rsid w:val="79960BD2"/>
    <w:rsid w:val="7B193C74"/>
    <w:rsid w:val="7B5B7884"/>
    <w:rsid w:val="7BB90159"/>
    <w:rsid w:val="7BF45654"/>
    <w:rsid w:val="7C492337"/>
    <w:rsid w:val="7CFC1FCB"/>
    <w:rsid w:val="7D657644"/>
    <w:rsid w:val="7DCC08E9"/>
    <w:rsid w:val="7E78035A"/>
    <w:rsid w:val="7E8A171E"/>
    <w:rsid w:val="7EA41BF5"/>
    <w:rsid w:val="7ECB638F"/>
    <w:rsid w:val="7EE30FE7"/>
    <w:rsid w:val="7EE822DB"/>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2"/>
    <w:basedOn w:val="1"/>
    <w:next w:val="1"/>
    <w:link w:val="19"/>
    <w:autoRedefine/>
    <w:qFormat/>
    <w:uiPriority w:val="99"/>
    <w:pPr>
      <w:keepNext/>
      <w:keepLines/>
      <w:spacing w:before="260" w:after="260" w:line="416" w:lineRule="auto"/>
      <w:outlineLvl w:val="1"/>
    </w:pPr>
    <w:rPr>
      <w:rFonts w:ascii="Arial" w:hAnsi="Arial" w:eastAsia="黑体"/>
      <w:b/>
      <w:bCs/>
      <w:kern w:val="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link w:val="29"/>
    <w:autoRedefine/>
    <w:semiHidden/>
    <w:unhideWhenUsed/>
    <w:qFormat/>
    <w:uiPriority w:val="0"/>
    <w:pPr>
      <w:spacing w:line="440" w:lineRule="exact"/>
    </w:pPr>
    <w:rPr>
      <w:rFonts w:eastAsia="宋体"/>
      <w:sz w:val="24"/>
      <w:szCs w:val="20"/>
    </w:rPr>
  </w:style>
  <w:style w:type="paragraph" w:styleId="5">
    <w:name w:val="Body Text Indent"/>
    <w:basedOn w:val="1"/>
    <w:link w:val="27"/>
    <w:autoRedefine/>
    <w:semiHidden/>
    <w:unhideWhenUsed/>
    <w:qFormat/>
    <w:uiPriority w:val="99"/>
    <w:pPr>
      <w:spacing w:after="120"/>
      <w:ind w:left="420" w:leftChars="200"/>
    </w:pPr>
  </w:style>
  <w:style w:type="paragraph" w:styleId="6">
    <w:name w:val="Plain Text"/>
    <w:basedOn w:val="1"/>
    <w:link w:val="31"/>
    <w:autoRedefine/>
    <w:semiHidden/>
    <w:unhideWhenUsed/>
    <w:qFormat/>
    <w:uiPriority w:val="0"/>
    <w:pPr>
      <w:spacing w:line="360" w:lineRule="auto"/>
    </w:pPr>
    <w:rPr>
      <w:rFonts w:ascii="宋体" w:hAnsi="Courier New" w:eastAsia="宋体"/>
      <w:sz w:val="21"/>
      <w:szCs w:val="20"/>
    </w:rPr>
  </w:style>
  <w:style w:type="paragraph" w:styleId="7">
    <w:name w:val="Body Text Indent 2"/>
    <w:basedOn w:val="1"/>
    <w:link w:val="30"/>
    <w:autoRedefine/>
    <w:semiHidden/>
    <w:unhideWhenUsed/>
    <w:qFormat/>
    <w:uiPriority w:val="0"/>
    <w:pPr>
      <w:spacing w:after="120" w:line="480" w:lineRule="auto"/>
      <w:ind w:left="420" w:leftChars="200"/>
    </w:pPr>
    <w:rPr>
      <w:rFonts w:eastAsia="宋体"/>
      <w:sz w:val="21"/>
      <w:szCs w:val="20"/>
    </w:rPr>
  </w:style>
  <w:style w:type="paragraph" w:styleId="8">
    <w:name w:val="Balloon Text"/>
    <w:basedOn w:val="1"/>
    <w:link w:val="20"/>
    <w:autoRedefine/>
    <w:unhideWhenUsed/>
    <w:qFormat/>
    <w:uiPriority w:val="99"/>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link w:val="28"/>
    <w:autoRedefine/>
    <w:semiHidden/>
    <w:unhideWhenUsed/>
    <w:qFormat/>
    <w:uiPriority w:val="0"/>
    <w:pPr>
      <w:spacing w:line="360" w:lineRule="auto"/>
      <w:ind w:firstLine="420" w:firstLineChars="200"/>
    </w:pPr>
    <w:rPr>
      <w:rFonts w:eastAsia="宋体"/>
      <w:sz w:val="21"/>
      <w:szCs w:val="2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styleId="16">
    <w:name w:val="annotation reference"/>
    <w:autoRedefine/>
    <w:unhideWhenUsed/>
    <w:qFormat/>
    <w:uiPriority w:val="99"/>
    <w:rPr>
      <w:sz w:val="21"/>
      <w:szCs w:val="21"/>
    </w:rPr>
  </w:style>
  <w:style w:type="paragraph" w:customStyle="1" w:styleId="17">
    <w:name w:val="Body Text First Indent 21"/>
    <w:basedOn w:val="18"/>
    <w:autoRedefine/>
    <w:qFormat/>
    <w:uiPriority w:val="0"/>
    <w:pPr>
      <w:ind w:firstLine="420" w:firstLineChars="200"/>
    </w:pPr>
  </w:style>
  <w:style w:type="paragraph" w:customStyle="1" w:styleId="18">
    <w:name w:val="Body Text Indent1"/>
    <w:basedOn w:val="1"/>
    <w:autoRedefine/>
    <w:qFormat/>
    <w:uiPriority w:val="0"/>
    <w:pPr>
      <w:ind w:firstLine="624"/>
    </w:pPr>
  </w:style>
  <w:style w:type="character" w:customStyle="1" w:styleId="19">
    <w:name w:val="标题 2 Char"/>
    <w:link w:val="2"/>
    <w:autoRedefine/>
    <w:qFormat/>
    <w:uiPriority w:val="99"/>
    <w:rPr>
      <w:rFonts w:ascii="Arial" w:hAnsi="Arial" w:eastAsia="黑体" w:cs="Times New Roman"/>
      <w:b/>
      <w:bCs/>
      <w:kern w:val="0"/>
      <w:sz w:val="32"/>
      <w:szCs w:val="32"/>
    </w:rPr>
  </w:style>
  <w:style w:type="character" w:customStyle="1" w:styleId="20">
    <w:name w:val="批注框文本 Char"/>
    <w:link w:val="8"/>
    <w:autoRedefine/>
    <w:semiHidden/>
    <w:qFormat/>
    <w:uiPriority w:val="99"/>
    <w:rPr>
      <w:rFonts w:ascii="Times New Roman" w:hAnsi="Times New Roman" w:eastAsia="方正仿宋简体"/>
      <w:kern w:val="2"/>
      <w:sz w:val="18"/>
      <w:szCs w:val="18"/>
    </w:rPr>
  </w:style>
  <w:style w:type="character" w:customStyle="1" w:styleId="21">
    <w:name w:val="页眉 Char"/>
    <w:link w:val="10"/>
    <w:autoRedefine/>
    <w:qFormat/>
    <w:uiPriority w:val="0"/>
    <w:rPr>
      <w:rFonts w:ascii="Times New Roman" w:hAnsi="Times New Roman" w:eastAsia="方正仿宋简体" w:cs="Times New Roman"/>
      <w:sz w:val="18"/>
      <w:szCs w:val="18"/>
    </w:rPr>
  </w:style>
  <w:style w:type="character" w:customStyle="1" w:styleId="22">
    <w:name w:val="font21"/>
    <w:autoRedefine/>
    <w:qFormat/>
    <w:uiPriority w:val="0"/>
    <w:rPr>
      <w:rFonts w:hint="eastAsia" w:ascii="黑体" w:hAnsi="宋体" w:eastAsia="黑体" w:cs="黑体"/>
      <w:color w:val="000000"/>
      <w:sz w:val="24"/>
      <w:szCs w:val="24"/>
      <w:u w:val="none"/>
    </w:rPr>
  </w:style>
  <w:style w:type="character" w:customStyle="1" w:styleId="23">
    <w:name w:val="font31"/>
    <w:autoRedefine/>
    <w:qFormat/>
    <w:uiPriority w:val="0"/>
    <w:rPr>
      <w:rFonts w:hint="eastAsia" w:ascii="黑体" w:hAnsi="宋体" w:eastAsia="黑体" w:cs="黑体"/>
      <w:color w:val="000000"/>
      <w:sz w:val="24"/>
      <w:szCs w:val="24"/>
      <w:u w:val="none"/>
    </w:rPr>
  </w:style>
  <w:style w:type="character" w:customStyle="1" w:styleId="24">
    <w:name w:val="font11"/>
    <w:autoRedefine/>
    <w:qFormat/>
    <w:uiPriority w:val="0"/>
    <w:rPr>
      <w:rFonts w:hint="eastAsia" w:ascii="仿宋_GB2312" w:eastAsia="仿宋_GB2312" w:cs="仿宋_GB2312"/>
      <w:color w:val="000000"/>
      <w:sz w:val="26"/>
      <w:szCs w:val="26"/>
      <w:u w:val="none"/>
    </w:rPr>
  </w:style>
  <w:style w:type="character" w:customStyle="1" w:styleId="25">
    <w:name w:val="font01"/>
    <w:autoRedefine/>
    <w:qFormat/>
    <w:uiPriority w:val="0"/>
    <w:rPr>
      <w:rFonts w:hint="eastAsia" w:ascii="宋体" w:hAnsi="宋体" w:eastAsia="宋体" w:cs="宋体"/>
      <w:color w:val="000000"/>
      <w:sz w:val="26"/>
      <w:szCs w:val="26"/>
      <w:u w:val="none"/>
    </w:rPr>
  </w:style>
  <w:style w:type="character" w:customStyle="1" w:styleId="26">
    <w:name w:val="font41"/>
    <w:basedOn w:val="14"/>
    <w:autoRedefine/>
    <w:qFormat/>
    <w:uiPriority w:val="0"/>
    <w:rPr>
      <w:rFonts w:hint="eastAsia" w:ascii="黑体" w:hAnsi="宋体" w:eastAsia="黑体" w:cs="黑体"/>
      <w:color w:val="000000"/>
      <w:sz w:val="26"/>
      <w:szCs w:val="26"/>
      <w:u w:val="none"/>
    </w:rPr>
  </w:style>
  <w:style w:type="character" w:customStyle="1" w:styleId="27">
    <w:name w:val="正文文本缩进 Char"/>
    <w:basedOn w:val="14"/>
    <w:link w:val="5"/>
    <w:autoRedefine/>
    <w:semiHidden/>
    <w:qFormat/>
    <w:uiPriority w:val="99"/>
    <w:rPr>
      <w:rFonts w:eastAsia="方正仿宋简体"/>
      <w:kern w:val="2"/>
      <w:sz w:val="32"/>
      <w:szCs w:val="32"/>
    </w:rPr>
  </w:style>
  <w:style w:type="character" w:customStyle="1" w:styleId="28">
    <w:name w:val="正文首行缩进 2 Char"/>
    <w:basedOn w:val="27"/>
    <w:link w:val="11"/>
    <w:autoRedefine/>
    <w:semiHidden/>
    <w:qFormat/>
    <w:uiPriority w:val="0"/>
    <w:rPr>
      <w:rFonts w:eastAsia="方正仿宋简体"/>
      <w:kern w:val="2"/>
      <w:sz w:val="21"/>
      <w:szCs w:val="32"/>
    </w:rPr>
  </w:style>
  <w:style w:type="character" w:customStyle="1" w:styleId="29">
    <w:name w:val="正文文本 Char"/>
    <w:basedOn w:val="14"/>
    <w:link w:val="4"/>
    <w:autoRedefine/>
    <w:semiHidden/>
    <w:qFormat/>
    <w:uiPriority w:val="0"/>
    <w:rPr>
      <w:kern w:val="2"/>
      <w:sz w:val="24"/>
    </w:rPr>
  </w:style>
  <w:style w:type="character" w:customStyle="1" w:styleId="30">
    <w:name w:val="正文文本缩进 2 Char"/>
    <w:basedOn w:val="14"/>
    <w:link w:val="7"/>
    <w:autoRedefine/>
    <w:semiHidden/>
    <w:qFormat/>
    <w:uiPriority w:val="0"/>
    <w:rPr>
      <w:kern w:val="2"/>
      <w:sz w:val="21"/>
    </w:rPr>
  </w:style>
  <w:style w:type="character" w:customStyle="1" w:styleId="31">
    <w:name w:val="纯文本 Char"/>
    <w:basedOn w:val="14"/>
    <w:link w:val="6"/>
    <w:autoRedefine/>
    <w:semiHidden/>
    <w:qFormat/>
    <w:uiPriority w:val="0"/>
    <w:rPr>
      <w:rFonts w:ascii="宋体" w:hAnsi="Courier New"/>
      <w:kern w:val="2"/>
      <w:sz w:val="21"/>
    </w:rPr>
  </w:style>
  <w:style w:type="paragraph" w:styleId="32">
    <w:name w:val="List Paragraph"/>
    <w:basedOn w:val="1"/>
    <w:autoRedefine/>
    <w:qFormat/>
    <w:uiPriority w:val="34"/>
    <w:pPr>
      <w:spacing w:line="360" w:lineRule="auto"/>
      <w:ind w:firstLine="420" w:firstLineChars="200"/>
    </w:pPr>
    <w:rPr>
      <w:rFonts w:eastAsia="宋体"/>
      <w:sz w:val="21"/>
      <w:szCs w:val="20"/>
    </w:rPr>
  </w:style>
  <w:style w:type="paragraph" w:customStyle="1" w:styleId="33">
    <w:name w:val="List Paragraph1"/>
    <w:basedOn w:val="1"/>
    <w:autoRedefine/>
    <w:qFormat/>
    <w:uiPriority w:val="99"/>
    <w:pPr>
      <w:spacing w:line="360" w:lineRule="auto"/>
      <w:ind w:firstLine="420" w:firstLineChars="200"/>
    </w:pPr>
    <w:rPr>
      <w:rFonts w:eastAsia="宋体"/>
      <w:sz w:val="21"/>
      <w:szCs w:val="20"/>
    </w:rPr>
  </w:style>
  <w:style w:type="paragraph" w:customStyle="1" w:styleId="34">
    <w:name w:val="列出段落1"/>
    <w:basedOn w:val="1"/>
    <w:autoRedefine/>
    <w:qFormat/>
    <w:uiPriority w:val="1"/>
    <w:pPr>
      <w:ind w:left="100" w:firstLine="420"/>
    </w:pPr>
  </w:style>
  <w:style w:type="character" w:customStyle="1" w:styleId="35">
    <w:name w:val="font51"/>
    <w:basedOn w:val="14"/>
    <w:autoRedefine/>
    <w:qFormat/>
    <w:uiPriority w:val="0"/>
    <w:rPr>
      <w:rFonts w:ascii="仿宋_GB2312" w:eastAsia="仿宋_GB2312" w:cs="仿宋_GB2312"/>
      <w:color w:val="000000"/>
      <w:sz w:val="22"/>
      <w:szCs w:val="22"/>
      <w:u w:val="none"/>
    </w:rPr>
  </w:style>
  <w:style w:type="paragraph" w:customStyle="1" w:styleId="36">
    <w:name w:val="Table Paragraph"/>
    <w:basedOn w:val="1"/>
    <w:autoRedefine/>
    <w:qFormat/>
    <w:uiPriority w:val="1"/>
    <w:pPr>
      <w:jc w:val="center"/>
    </w:pPr>
    <w:rPr>
      <w:rFonts w:ascii="仿宋" w:hAnsi="仿宋" w:eastAsia="仿宋" w:cs="仿宋"/>
      <w:lang w:val="zh-CN" w:bidi="zh-CN"/>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9439</Words>
  <Characters>10142</Characters>
  <Lines>110</Lines>
  <Paragraphs>31</Paragraphs>
  <TotalTime>48</TotalTime>
  <ScaleCrop>false</ScaleCrop>
  <LinksUpToDate>false</LinksUpToDate>
  <CharactersWithSpaces>10472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2022-03-08T12:17:00Z</dcterms:created>
  <dc:creator>李中维</dc:creator>
  <cp:lastModifiedBy>龚建瑞</cp:lastModifiedBy>
  <cp:lastPrinted>2024-05-29T01:44:00Z</cp:lastPrinted>
  <dcterms:modified xsi:type="dcterms:W3CDTF">2024-05-29T03:18:45Z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314087282B0E4E04AEC6C88A83BA116E_13</vt:lpwstr>
  </property>
</Properties>
</file>