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bCs/>
          <w:sz w:val="44"/>
          <w:szCs w:val="44"/>
        </w:rPr>
      </w:pPr>
      <w:bookmarkStart w:id="0" w:name="_Toc28606"/>
      <w:r>
        <w:rPr>
          <w:rFonts w:hint="eastAsia" w:ascii="仿宋" w:hAnsi="仿宋" w:eastAsia="仿宋" w:cs="仿宋"/>
          <w:b/>
          <w:bCs/>
          <w:sz w:val="44"/>
          <w:szCs w:val="44"/>
        </w:rPr>
        <w:t>四川秦巴高速公路有限责任公司</w:t>
      </w:r>
      <w:bookmarkEnd w:id="0"/>
    </w:p>
    <w:p>
      <w:pPr>
        <w:jc w:val="center"/>
        <w:outlineLvl w:val="0"/>
        <w:rPr>
          <w:rFonts w:ascii="仿宋" w:hAnsi="仿宋" w:eastAsia="仿宋" w:cs="仿宋"/>
          <w:b/>
          <w:bCs/>
          <w:sz w:val="44"/>
          <w:szCs w:val="44"/>
        </w:rPr>
      </w:pPr>
      <w:bookmarkStart w:id="1" w:name="_Toc16138"/>
      <w:r>
        <w:rPr>
          <w:rFonts w:hint="eastAsia" w:ascii="仿宋" w:hAnsi="仿宋" w:eastAsia="仿宋" w:cs="仿宋"/>
          <w:b/>
          <w:bCs/>
          <w:sz w:val="44"/>
          <w:szCs w:val="44"/>
        </w:rPr>
        <w:t>巴南段、广巴段、巴陕段场外电力线路及设施设备日常维护项目</w:t>
      </w:r>
      <w:bookmarkEnd w:id="1"/>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比选文件</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rPr>
          <w:rFonts w:ascii="仿宋" w:hAnsi="仿宋" w:eastAsia="仿宋" w:cs="仿宋"/>
          <w:b/>
          <w:bCs/>
          <w:sz w:val="44"/>
          <w:szCs w:val="44"/>
        </w:rPr>
      </w:pPr>
    </w:p>
    <w:p>
      <w:pPr>
        <w:jc w:val="center"/>
        <w:outlineLvl w:val="0"/>
        <w:rPr>
          <w:rFonts w:ascii="仿宋" w:hAnsi="仿宋" w:eastAsia="仿宋" w:cs="仿宋"/>
          <w:b/>
          <w:bCs/>
        </w:rPr>
      </w:pPr>
      <w:bookmarkStart w:id="2" w:name="_Toc24153"/>
      <w:r>
        <w:rPr>
          <w:rFonts w:hint="eastAsia" w:ascii="仿宋" w:hAnsi="仿宋" w:eastAsia="仿宋" w:cs="仿宋"/>
          <w:b/>
          <w:bCs/>
        </w:rPr>
        <w:t>四川秦巴高速公路有限责任公司</w:t>
      </w:r>
      <w:bookmarkEnd w:id="2"/>
    </w:p>
    <w:p>
      <w:pPr>
        <w:ind w:left="3520" w:leftChars="1100"/>
        <w:jc w:val="left"/>
        <w:rPr>
          <w:rFonts w:ascii="仿宋" w:hAnsi="仿宋" w:eastAsia="仿宋" w:cs="仿宋"/>
          <w:b/>
          <w:bCs/>
        </w:rPr>
      </w:pPr>
    </w:p>
    <w:p>
      <w:pPr>
        <w:jc w:val="center"/>
        <w:rPr>
          <w:rFonts w:eastAsia="宋体"/>
          <w:b/>
          <w:bCs/>
        </w:rPr>
      </w:pPr>
      <w:r>
        <w:rPr>
          <w:rFonts w:hint="eastAsia" w:ascii="仿宋" w:hAnsi="仿宋" w:eastAsia="仿宋" w:cs="仿宋"/>
          <w:b/>
          <w:bCs/>
        </w:rPr>
        <w:t>二〇二三年</w:t>
      </w:r>
      <w:r>
        <w:rPr>
          <w:rFonts w:hint="eastAsia" w:ascii="仿宋" w:hAnsi="仿宋" w:eastAsia="仿宋" w:cs="仿宋"/>
          <w:b/>
          <w:bCs/>
          <w:lang w:val="en-US" w:eastAsia="zh-CN"/>
        </w:rPr>
        <w:t>十</w:t>
      </w:r>
      <w:r>
        <w:rPr>
          <w:rFonts w:hint="eastAsia" w:ascii="仿宋" w:hAnsi="仿宋" w:eastAsia="仿宋" w:cs="仿宋"/>
          <w:b/>
          <w:bCs/>
        </w:rPr>
        <w:t>月</w:t>
      </w:r>
    </w:p>
    <w:p>
      <w:pPr>
        <w:widowControl/>
        <w:jc w:val="left"/>
        <w:rPr>
          <w:b/>
          <w:bCs/>
        </w:rPr>
        <w:sectPr>
          <w:footnotePr>
            <w:numFmt w:val="decimalEnclosedCircleChinese"/>
            <w:numRestart w:val="eachPage"/>
          </w:footnotePr>
          <w:pgSz w:w="11906" w:h="16838"/>
          <w:pgMar w:top="1134" w:right="1134" w:bottom="1134" w:left="1418" w:header="851" w:footer="992" w:gutter="0"/>
          <w:cols w:space="720" w:num="1"/>
        </w:sectPr>
      </w:pPr>
    </w:p>
    <w:p>
      <w:pPr>
        <w:keepNext/>
        <w:keepLines/>
        <w:spacing w:before="340" w:after="330" w:line="560" w:lineRule="exact"/>
        <w:jc w:val="both"/>
        <w:outlineLvl w:val="0"/>
        <w:rPr>
          <w:rFonts w:hint="eastAsia" w:ascii="仿宋" w:hAnsi="仿宋" w:eastAsia="仿宋" w:cs="仿宋"/>
          <w:b/>
          <w:color w:val="000000"/>
          <w:kern w:val="44"/>
          <w:sz w:val="44"/>
          <w:szCs w:val="44"/>
          <w:lang w:eastAsia="zh-CN"/>
        </w:rPr>
      </w:pPr>
      <w:bookmarkStart w:id="3" w:name="_Toc9736"/>
    </w:p>
    <w:p>
      <w:pPr>
        <w:keepNext/>
        <w:keepLines/>
        <w:spacing w:before="340" w:after="330" w:line="560" w:lineRule="exact"/>
        <w:jc w:val="center"/>
        <w:outlineLvl w:val="0"/>
        <w:rPr>
          <w:rFonts w:hint="eastAsia" w:ascii="仿宋" w:hAnsi="仿宋" w:eastAsia="仿宋" w:cs="仿宋"/>
          <w:b/>
          <w:color w:val="000000"/>
          <w:kern w:val="44"/>
          <w:sz w:val="44"/>
          <w:szCs w:val="44"/>
          <w:lang w:eastAsia="zh-CN"/>
        </w:rPr>
      </w:pPr>
      <w:r>
        <w:rPr>
          <w:rFonts w:hint="eastAsia" w:ascii="仿宋" w:hAnsi="仿宋" w:eastAsia="仿宋" w:cs="仿宋"/>
          <w:b/>
          <w:color w:val="000000"/>
          <w:kern w:val="44"/>
          <w:sz w:val="44"/>
          <w:szCs w:val="44"/>
          <w:lang w:eastAsia="zh-CN"/>
        </w:rPr>
        <w:t>目录</w:t>
      </w:r>
      <w:bookmarkEnd w:id="3"/>
    </w:p>
    <w:sdt>
      <w:sdtPr>
        <w:rPr>
          <w:rFonts w:ascii="宋体" w:hAnsi="宋体" w:eastAsia="宋体" w:cs="Times New Roman"/>
          <w:kern w:val="2"/>
          <w:sz w:val="21"/>
          <w:szCs w:val="32"/>
          <w:lang w:val="en-US" w:eastAsia="zh-CN" w:bidi="ar-SA"/>
        </w:rPr>
        <w:id w:val="147472271"/>
        <w15:color w:val="DBDBDB"/>
        <w:docPartObj>
          <w:docPartGallery w:val="Table of Contents"/>
          <w:docPartUnique/>
        </w:docPartObj>
      </w:sdtPr>
      <w:sdtEndPr>
        <w:rPr>
          <w:rFonts w:hint="eastAsia" w:ascii="仿宋" w:hAnsi="仿宋" w:eastAsia="仿宋" w:cs="仿宋"/>
          <w:b/>
          <w:color w:val="000000"/>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36"/>
            <w:tabs>
              <w:tab w:val="right" w:leader="dot" w:pos="9359"/>
            </w:tabs>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44"/>
              <w:szCs w:val="44"/>
              <w:lang w:val="en-US" w:eastAsia="zh-CN" w:bidi="ar-SA"/>
            </w:rPr>
            <w:fldChar w:fldCharType="begin"/>
          </w:r>
          <w:r>
            <w:rPr>
              <w:rFonts w:hint="eastAsia" w:ascii="仿宋" w:hAnsi="仿宋" w:eastAsia="仿宋" w:cs="仿宋"/>
              <w:b/>
              <w:color w:val="000000"/>
              <w:kern w:val="44"/>
              <w:sz w:val="44"/>
              <w:szCs w:val="44"/>
              <w:lang w:val="en-US" w:eastAsia="zh-CN" w:bidi="ar-SA"/>
            </w:rPr>
            <w:instrText xml:space="preserve">TOC \o "1-1" \h \u </w:instrText>
          </w:r>
          <w:r>
            <w:rPr>
              <w:rFonts w:hint="eastAsia" w:ascii="仿宋" w:hAnsi="仿宋" w:eastAsia="仿宋" w:cs="仿宋"/>
              <w:b/>
              <w:color w:val="000000"/>
              <w:kern w:val="44"/>
              <w:sz w:val="44"/>
              <w:szCs w:val="44"/>
              <w:lang w:val="en-US" w:eastAsia="zh-CN" w:bidi="ar-SA"/>
            </w:rPr>
            <w:fldChar w:fldCharType="separate"/>
          </w:r>
        </w:p>
        <w:p>
          <w:pPr>
            <w:pStyle w:val="36"/>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_Toc1216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第一章 比选公告</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_Toc1216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3</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6"/>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_Toc14003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第二章 比选申请人须知</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_Toc14003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13</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6"/>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_Toc14274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第三章 评标方法</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_Toc14274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18</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6"/>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_Toc27469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第四章 合同条款及格式</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_Toc27469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25</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6"/>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_Toc31286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第五章 比选申请文件格式</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_Toc31286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29</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2"/>
            <w:ind w:left="0" w:leftChars="0" w:firstLine="0" w:firstLineChars="0"/>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44"/>
              <w:szCs w:val="44"/>
              <w:lang w:val="en-US" w:eastAsia="zh-CN" w:bidi="ar-SA"/>
            </w:rPr>
            <w:fldChar w:fldCharType="end"/>
          </w:r>
        </w:p>
      </w:sdtContent>
    </w:sdt>
    <w:p>
      <w:pPr>
        <w:pStyle w:val="2"/>
        <w:numPr>
          <w:ilvl w:val="0"/>
          <w:numId w:val="0"/>
        </w:numPr>
        <w:ind w:leftChars="400"/>
        <w:rPr>
          <w:rFonts w:hint="default" w:ascii="仿宋" w:hAnsi="仿宋" w:eastAsia="仿宋" w:cs="仿宋"/>
          <w:b/>
          <w:color w:val="000000"/>
          <w:kern w:val="44"/>
          <w:sz w:val="44"/>
          <w:szCs w:val="44"/>
          <w:lang w:val="en-US" w:eastAsia="zh-CN"/>
        </w:rPr>
      </w:pPr>
    </w:p>
    <w:p>
      <w:pPr>
        <w:pStyle w:val="2"/>
        <w:rPr>
          <w:rFonts w:hint="eastAsia" w:ascii="仿宋" w:hAnsi="仿宋" w:eastAsia="仿宋" w:cs="仿宋"/>
          <w:b/>
          <w:color w:val="000000"/>
          <w:kern w:val="44"/>
          <w:sz w:val="44"/>
          <w:szCs w:val="44"/>
          <w:lang w:eastAsia="zh-CN"/>
        </w:rPr>
        <w:sectPr>
          <w:pgSz w:w="11910" w:h="16840"/>
          <w:pgMar w:top="1134" w:right="1134" w:bottom="1134" w:left="1417" w:header="794" w:footer="794" w:gutter="0"/>
          <w:cols w:space="720" w:num="1"/>
        </w:sect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4" w:name="_Toc1216"/>
      <w:r>
        <w:rPr>
          <w:rFonts w:hint="eastAsia" w:asciiTheme="majorEastAsia" w:hAnsiTheme="majorEastAsia" w:eastAsiaTheme="majorEastAsia" w:cstheme="majorEastAsia"/>
          <w:b/>
          <w:bCs w:val="0"/>
          <w:color w:val="000000"/>
          <w:kern w:val="44"/>
          <w:sz w:val="36"/>
          <w:szCs w:val="36"/>
        </w:rPr>
        <w:t>比选公告</w:t>
      </w:r>
      <w:bookmarkEnd w:id="4"/>
    </w:p>
    <w:p>
      <w:pPr>
        <w:pStyle w:val="2"/>
        <w:widowControl w:val="0"/>
        <w:numPr>
          <w:ilvl w:val="0"/>
          <w:numId w:val="0"/>
        </w:numPr>
        <w:spacing w:after="120" w:line="360" w:lineRule="auto"/>
        <w:jc w:val="center"/>
        <w:rPr>
          <w:rFonts w:hint="eastAsia" w:asciiTheme="majorEastAsia" w:hAnsiTheme="majorEastAsia" w:eastAsiaTheme="majorEastAsia" w:cstheme="majorEastAsia"/>
          <w:b/>
          <w:bCs w:val="0"/>
          <w:spacing w:val="-5"/>
          <w:sz w:val="36"/>
          <w:szCs w:val="36"/>
        </w:rPr>
      </w:pPr>
      <w:r>
        <w:rPr>
          <w:rFonts w:hint="eastAsia" w:asciiTheme="majorEastAsia" w:hAnsiTheme="majorEastAsia" w:eastAsiaTheme="majorEastAsia" w:cstheme="majorEastAsia"/>
          <w:b/>
          <w:bCs w:val="0"/>
          <w:spacing w:val="-5"/>
          <w:sz w:val="36"/>
          <w:szCs w:val="36"/>
          <w:lang w:eastAsia="zh-CN"/>
        </w:rPr>
        <w:t>秦巴公司</w:t>
      </w:r>
      <w:r>
        <w:rPr>
          <w:rFonts w:hint="eastAsia" w:asciiTheme="majorEastAsia" w:hAnsiTheme="majorEastAsia" w:eastAsiaTheme="majorEastAsia" w:cstheme="majorEastAsia"/>
          <w:b/>
          <w:bCs w:val="0"/>
          <w:spacing w:val="-5"/>
          <w:sz w:val="36"/>
          <w:szCs w:val="36"/>
        </w:rPr>
        <w:t>巴南段、广巴段、巴陕段场外</w:t>
      </w:r>
    </w:p>
    <w:p>
      <w:pPr>
        <w:pStyle w:val="2"/>
        <w:widowControl w:val="0"/>
        <w:numPr>
          <w:ilvl w:val="0"/>
          <w:numId w:val="0"/>
        </w:numPr>
        <w:spacing w:after="120" w:line="360" w:lineRule="auto"/>
        <w:jc w:val="center"/>
        <w:rPr>
          <w:rFonts w:hint="eastAsia" w:asciiTheme="majorEastAsia" w:hAnsiTheme="majorEastAsia" w:eastAsiaTheme="majorEastAsia" w:cstheme="majorEastAsia"/>
          <w:b/>
          <w:bCs w:val="0"/>
          <w:spacing w:val="-5"/>
          <w:sz w:val="36"/>
          <w:szCs w:val="36"/>
        </w:rPr>
      </w:pPr>
      <w:r>
        <w:rPr>
          <w:rFonts w:hint="eastAsia" w:asciiTheme="majorEastAsia" w:hAnsiTheme="majorEastAsia" w:eastAsiaTheme="majorEastAsia" w:cstheme="majorEastAsia"/>
          <w:b/>
          <w:bCs w:val="0"/>
          <w:spacing w:val="-5"/>
          <w:sz w:val="36"/>
          <w:szCs w:val="36"/>
        </w:rPr>
        <w:t>电力线路及设施设备日常维护项目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100" w:after="120" w:line="360" w:lineRule="auto"/>
        <w:jc w:val="center"/>
        <w:textAlignment w:val="auto"/>
        <w:rPr>
          <w:rFonts w:hint="eastAsia" w:asciiTheme="majorEastAsia" w:hAnsiTheme="majorEastAsia" w:eastAsiaTheme="majorEastAsia" w:cstheme="majorEastAsia"/>
          <w:b/>
          <w:bCs w:val="0"/>
          <w:spacing w:val="-5"/>
          <w:sz w:val="36"/>
          <w:szCs w:val="36"/>
          <w:lang w:eastAsia="zh-CN"/>
        </w:rPr>
      </w:pPr>
      <w:r>
        <w:rPr>
          <w:rFonts w:hint="eastAsia" w:asciiTheme="majorEastAsia" w:hAnsiTheme="majorEastAsia" w:eastAsiaTheme="majorEastAsia" w:cstheme="majorEastAsia"/>
          <w:b/>
          <w:bCs w:val="0"/>
          <w:spacing w:val="-5"/>
          <w:sz w:val="36"/>
          <w:szCs w:val="36"/>
          <w:lang w:eastAsia="zh-CN"/>
        </w:rPr>
        <w:t>比</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选</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公</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告</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rPr>
        <w:t>一、条件</w:t>
      </w:r>
    </w:p>
    <w:p>
      <w:pPr>
        <w:tabs>
          <w:tab w:val="center" w:pos="4153"/>
        </w:tabs>
        <w:spacing w:line="560" w:lineRule="atLeast"/>
        <w:ind w:firstLine="540" w:firstLineChars="200"/>
        <w:rPr>
          <w:rFonts w:hint="eastAsia" w:eastAsiaTheme="minorEastAsia"/>
          <w:spacing w:val="-5"/>
          <w:sz w:val="28"/>
          <w:szCs w:val="28"/>
        </w:rPr>
      </w:pPr>
      <w:r>
        <w:rPr>
          <w:rFonts w:hint="eastAsia" w:eastAsiaTheme="minorEastAsia"/>
          <w:spacing w:val="-5"/>
          <w:sz w:val="28"/>
          <w:szCs w:val="28"/>
        </w:rPr>
        <w:t>四川秦巴高速公路有限责任公司（以下简称“比选人”）经2023年党委会议纪要（第</w:t>
      </w:r>
      <w:r>
        <w:rPr>
          <w:rFonts w:hint="eastAsia" w:eastAsiaTheme="minorEastAsia"/>
          <w:spacing w:val="-5"/>
          <w:sz w:val="28"/>
          <w:szCs w:val="28"/>
          <w:lang w:val="en-US" w:eastAsia="zh-CN"/>
        </w:rPr>
        <w:t>20</w:t>
      </w:r>
      <w:r>
        <w:rPr>
          <w:rFonts w:hint="eastAsia" w:eastAsiaTheme="minorEastAsia"/>
          <w:spacing w:val="-5"/>
          <w:sz w:val="28"/>
          <w:szCs w:val="28"/>
        </w:rPr>
        <w:t>期）第十</w:t>
      </w:r>
      <w:r>
        <w:rPr>
          <w:rFonts w:hint="eastAsia" w:eastAsiaTheme="minorEastAsia"/>
          <w:spacing w:val="-5"/>
          <w:sz w:val="28"/>
          <w:szCs w:val="28"/>
          <w:lang w:eastAsia="zh-CN"/>
        </w:rPr>
        <w:t>六</w:t>
      </w:r>
      <w:r>
        <w:rPr>
          <w:rFonts w:hint="eastAsia" w:eastAsiaTheme="minorEastAsia"/>
          <w:spacing w:val="-5"/>
          <w:sz w:val="28"/>
          <w:szCs w:val="28"/>
        </w:rPr>
        <w:t>条明确，以公开比选方式选取巴南段、广巴段、巴陕段场外电力线路及设施设备日常维护项目</w:t>
      </w:r>
      <w:r>
        <w:rPr>
          <w:rFonts w:hint="eastAsia" w:eastAsiaTheme="minorEastAsia"/>
          <w:spacing w:val="-5"/>
          <w:sz w:val="28"/>
          <w:szCs w:val="28"/>
          <w:lang w:eastAsia="zh-CN"/>
        </w:rPr>
        <w:t>维护单位</w:t>
      </w:r>
      <w:r>
        <w:rPr>
          <w:rFonts w:hint="eastAsia" w:eastAsiaTheme="minorEastAsia"/>
          <w:spacing w:val="-5"/>
          <w:sz w:val="28"/>
          <w:szCs w:val="28"/>
        </w:rPr>
        <w:t>。资金来源于</w:t>
      </w:r>
      <w:r>
        <w:rPr>
          <w:rFonts w:hint="eastAsia" w:eastAsiaTheme="minorEastAsia"/>
          <w:spacing w:val="-5"/>
          <w:sz w:val="28"/>
          <w:szCs w:val="28"/>
          <w:lang w:eastAsia="zh-CN"/>
        </w:rPr>
        <w:t>秦巴公司通行费收入，预算列支渠道为机电维护费及外场电力维护费专项资金</w:t>
      </w:r>
      <w:r>
        <w:rPr>
          <w:rFonts w:hint="eastAsia" w:eastAsiaTheme="minorEastAsia"/>
          <w:spacing w:val="-5"/>
          <w:sz w:val="28"/>
          <w:szCs w:val="28"/>
        </w:rPr>
        <w:t>。项目已具备比选条件，现对该项目进行公开比选。</w:t>
      </w:r>
    </w:p>
    <w:p>
      <w:pPr>
        <w:spacing w:before="120" w:beforeLines="50" w:after="120" w:afterLines="50" w:line="560" w:lineRule="exact"/>
        <w:outlineLvl w:val="1"/>
        <w:rPr>
          <w:rFonts w:ascii="仿宋_GB2312" w:hAnsi="宋体" w:eastAsia="仿宋_GB2312" w:cs="Courier New"/>
          <w:b/>
          <w:kern w:val="0"/>
        </w:rPr>
      </w:pPr>
      <w:r>
        <w:rPr>
          <w:rFonts w:hint="eastAsia" w:ascii="仿宋_GB2312" w:hAnsi="宋体" w:eastAsia="仿宋_GB2312" w:cs="Courier New"/>
          <w:b/>
          <w:kern w:val="0"/>
        </w:rPr>
        <w:t>二、项目概况</w:t>
      </w:r>
    </w:p>
    <w:p>
      <w:pPr>
        <w:tabs>
          <w:tab w:val="center" w:pos="4153"/>
        </w:tabs>
        <w:spacing w:line="560" w:lineRule="atLeast"/>
        <w:ind w:firstLine="540" w:firstLineChars="200"/>
        <w:rPr>
          <w:rFonts w:hint="eastAsia" w:eastAsiaTheme="minorEastAsia"/>
          <w:spacing w:val="-5"/>
          <w:sz w:val="28"/>
          <w:szCs w:val="28"/>
          <w:lang w:val="en-US" w:eastAsia="zh-CN"/>
        </w:rPr>
      </w:pPr>
      <w:r>
        <w:rPr>
          <w:rFonts w:hint="eastAsia" w:eastAsiaTheme="minorEastAsia"/>
          <w:spacing w:val="-5"/>
          <w:sz w:val="28"/>
          <w:szCs w:val="28"/>
        </w:rPr>
        <w:t>（一）项目名称：四川秦巴高速公路有限责任公司场外电力线路及设施设备日常维护项目</w:t>
      </w:r>
      <w:r>
        <w:rPr>
          <w:rFonts w:hint="eastAsia" w:eastAsiaTheme="minorEastAsia"/>
          <w:spacing w:val="-5"/>
          <w:sz w:val="28"/>
          <w:szCs w:val="28"/>
          <w:lang w:eastAsia="zh-CN"/>
        </w:rPr>
        <w:t>；</w:t>
      </w:r>
    </w:p>
    <w:p>
      <w:pPr>
        <w:tabs>
          <w:tab w:val="center" w:pos="4153"/>
        </w:tabs>
        <w:spacing w:line="560" w:lineRule="atLeast"/>
        <w:ind w:firstLine="540" w:firstLineChars="200"/>
        <w:rPr>
          <w:rFonts w:hint="eastAsia" w:eastAsiaTheme="minorEastAsia"/>
          <w:spacing w:val="-5"/>
          <w:sz w:val="28"/>
          <w:szCs w:val="28"/>
          <w:lang w:eastAsia="zh-CN"/>
        </w:rPr>
      </w:pPr>
      <w:r>
        <w:rPr>
          <w:rFonts w:hint="eastAsia" w:eastAsiaTheme="minorEastAsia"/>
          <w:spacing w:val="-5"/>
          <w:sz w:val="28"/>
          <w:szCs w:val="28"/>
        </w:rPr>
        <w:t>（二）项目背景及描述：秦巴公司广巴段外电线路10kV线路，全长 21.626公里，变电站（所）37座；巴南段外电线路10kV线路，全长17.737公里，变电站（所）27座；巴陕段外电线路全长65.37公里（其中35kV线路15.77公里，10kV线路49.6公里），变电站（所）34座（35kV变电站2座，10kV变电站32座）。本次招标内容为四川秦巴高速公路有限责任公司对外供电线路至变压器端的日常检查、定期检测、维护、应急抢险等，共划分3个标段，分别为四川秦巴高速公路有限责任公司QBWD1标（巴南段场外电力线路及设施设备日常维护项目；四川秦巴高速公路有限责任公司QBWD2标（广巴段）场外电力线路及设施设备日常维护项目；四川秦巴高速公路有限责任公司QBWD3标（巴陕段）场外电力线路及设施设备日常维护项目</w:t>
      </w:r>
      <w:r>
        <w:rPr>
          <w:rFonts w:hint="eastAsia" w:eastAsiaTheme="minorEastAsia"/>
          <w:spacing w:val="-5"/>
          <w:sz w:val="28"/>
          <w:szCs w:val="28"/>
          <w:lang w:eastAsia="zh-CN"/>
        </w:rPr>
        <w:t>；</w:t>
      </w:r>
    </w:p>
    <w:p>
      <w:pPr>
        <w:pStyle w:val="2"/>
        <w:ind w:left="0" w:leftChars="0" w:firstLine="0" w:firstLineChars="0"/>
        <w:jc w:val="center"/>
        <w:rPr>
          <w:rFonts w:eastAsiaTheme="minorEastAsia"/>
          <w:b/>
          <w:bCs/>
          <w:spacing w:val="-5"/>
          <w:sz w:val="28"/>
          <w:szCs w:val="28"/>
        </w:rPr>
      </w:pPr>
      <w:r>
        <w:rPr>
          <w:rFonts w:hint="eastAsia" w:eastAsiaTheme="minorEastAsia"/>
          <w:b/>
          <w:bCs/>
          <w:spacing w:val="-5"/>
          <w:sz w:val="28"/>
          <w:szCs w:val="28"/>
        </w:rPr>
        <w:t>QBWD1标段（巴南段）外线及变压器统计表</w:t>
      </w:r>
    </w:p>
    <w:tbl>
      <w:tblPr>
        <w:tblStyle w:val="12"/>
        <w:tblW w:w="8685" w:type="dxa"/>
        <w:tblInd w:w="93" w:type="dxa"/>
        <w:tblLayout w:type="autofit"/>
        <w:tblCellMar>
          <w:top w:w="0" w:type="dxa"/>
          <w:left w:w="108" w:type="dxa"/>
          <w:bottom w:w="0" w:type="dxa"/>
          <w:right w:w="108" w:type="dxa"/>
        </w:tblCellMar>
      </w:tblPr>
      <w:tblGrid>
        <w:gridCol w:w="825"/>
        <w:gridCol w:w="2400"/>
        <w:gridCol w:w="1350"/>
        <w:gridCol w:w="1365"/>
        <w:gridCol w:w="1440"/>
        <w:gridCol w:w="1305"/>
      </w:tblGrid>
      <w:tr>
        <w:tblPrEx>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点位名称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10KV外线长度（米）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变压器功率（KVA）</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变压器数量（台）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磨盘山隧道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马桑梁隧道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碧龙服务区南区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碧龙服务区北区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金子山隧道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铁佛塘收费站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东坝收费站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八尔湖收费站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古楼收费站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李桥枢纽互通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日兴收费站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五福隧道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五福收费站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赛金停车区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万寿山隧道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仪陇收费站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东兴场枢纽互通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恩阳收费站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凤包梁隧道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香炉寨隧道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柳林收费站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鸡公梁隧道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观音庵收费站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何家坝收费站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下八庙服务区南区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下八庙服务区北区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17737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rPr>
          <w:rFonts w:ascii="仿宋" w:hAnsi="仿宋" w:eastAsia="仿宋"/>
        </w:rPr>
      </w:pPr>
    </w:p>
    <w:p>
      <w:pPr>
        <w:pStyle w:val="2"/>
        <w:ind w:left="0" w:leftChars="0" w:firstLine="0" w:firstLineChars="0"/>
        <w:jc w:val="center"/>
        <w:rPr>
          <w:rFonts w:hint="eastAsia" w:eastAsiaTheme="minorEastAsia"/>
          <w:b/>
          <w:bCs/>
          <w:spacing w:val="-5"/>
          <w:sz w:val="28"/>
          <w:szCs w:val="28"/>
        </w:rPr>
      </w:pPr>
    </w:p>
    <w:p>
      <w:pPr>
        <w:pStyle w:val="2"/>
        <w:ind w:left="0" w:leftChars="0" w:firstLine="0" w:firstLineChars="0"/>
        <w:jc w:val="center"/>
        <w:rPr>
          <w:rFonts w:hint="eastAsia" w:eastAsiaTheme="minorEastAsia"/>
          <w:b/>
          <w:bCs/>
          <w:spacing w:val="-5"/>
          <w:sz w:val="28"/>
          <w:szCs w:val="28"/>
        </w:rPr>
      </w:pPr>
    </w:p>
    <w:p>
      <w:pPr>
        <w:pStyle w:val="2"/>
        <w:ind w:left="0" w:leftChars="0" w:firstLine="0" w:firstLineChars="0"/>
        <w:jc w:val="center"/>
        <w:rPr>
          <w:rFonts w:eastAsiaTheme="minorEastAsia"/>
          <w:b/>
          <w:bCs/>
          <w:spacing w:val="-5"/>
          <w:sz w:val="28"/>
          <w:szCs w:val="28"/>
        </w:rPr>
      </w:pPr>
      <w:r>
        <w:rPr>
          <w:rFonts w:hint="eastAsia" w:eastAsiaTheme="minorEastAsia"/>
          <w:b/>
          <w:bCs/>
          <w:spacing w:val="-5"/>
          <w:sz w:val="28"/>
          <w:szCs w:val="28"/>
        </w:rPr>
        <w:t>QBWD2标段（广巴段）外线及变压器统计表</w:t>
      </w:r>
    </w:p>
    <w:tbl>
      <w:tblPr>
        <w:tblStyle w:val="12"/>
        <w:tblW w:w="8701" w:type="dxa"/>
        <w:tblInd w:w="93" w:type="dxa"/>
        <w:tblLayout w:type="fixed"/>
        <w:tblCellMar>
          <w:top w:w="0" w:type="dxa"/>
          <w:left w:w="108" w:type="dxa"/>
          <w:bottom w:w="0" w:type="dxa"/>
          <w:right w:w="108" w:type="dxa"/>
        </w:tblCellMar>
      </w:tblPr>
      <w:tblGrid>
        <w:gridCol w:w="825"/>
        <w:gridCol w:w="2416"/>
        <w:gridCol w:w="1350"/>
        <w:gridCol w:w="1365"/>
        <w:gridCol w:w="1440"/>
        <w:gridCol w:w="1305"/>
      </w:tblGrid>
      <w:tr>
        <w:tblPrEx>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点位名称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10KV外线长度（米）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变压器功率（KVA）</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变压器数量（台）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东兴场隧道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福星场隧道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孟家山隧道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鸡鸣垭隧道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10</w:t>
            </w:r>
            <w:r>
              <w:rPr>
                <w:rFonts w:hint="eastAsia" w:ascii="宋体" w:hAnsi="宋体" w:eastAsia="宋体" w:cs="宋体"/>
                <w:color w:val="000000"/>
                <w:kern w:val="0"/>
                <w:sz w:val="22"/>
                <w:szCs w:val="22"/>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元包子隧道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木门隧道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佛子岩隧道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巴中南收费站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巴中西收费站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正直收费站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木门收费站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普济收费站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旺苍东收费站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巴中管理处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龙潭收费站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三清庙隧道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梁家岭隧道（广巴方向）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梁家岭隧道（巴广方向）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王家山隧道（巴广方向）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王家山隧道（广巴方向）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大石收费站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大石隧道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雪峰隧道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东坝收费站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550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东坝隧道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工农隧道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崔家垭隧道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广元北收费站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元坝收费站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大扁山隧道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680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五房岩隧道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980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二郎扁隧道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花树沟隧道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白水收费站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旺苍西收费站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兴隆山隧道（广巴方向）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兴隆山隧道（巴广方向）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kern w:val="0"/>
                <w:sz w:val="22"/>
                <w:szCs w:val="22"/>
                <w:lang w:bidi="ar"/>
              </w:rPr>
              <w:t>216</w:t>
            </w:r>
            <w:r>
              <w:rPr>
                <w:rFonts w:hint="eastAsia" w:ascii="宋体" w:hAnsi="宋体" w:eastAsia="宋体" w:cs="宋体"/>
                <w:b/>
                <w:bCs/>
                <w:color w:val="000000"/>
                <w:kern w:val="0"/>
                <w:sz w:val="22"/>
                <w:szCs w:val="22"/>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pStyle w:val="2"/>
        <w:ind w:left="0" w:leftChars="0" w:firstLine="0" w:firstLineChars="0"/>
        <w:jc w:val="center"/>
        <w:rPr>
          <w:rFonts w:eastAsiaTheme="minorEastAsia"/>
          <w:b/>
          <w:bCs/>
          <w:spacing w:val="-5"/>
          <w:sz w:val="28"/>
          <w:szCs w:val="28"/>
        </w:rPr>
      </w:pPr>
      <w:r>
        <w:rPr>
          <w:rFonts w:hint="eastAsia" w:eastAsiaTheme="minorEastAsia"/>
          <w:b/>
          <w:bCs/>
          <w:spacing w:val="-5"/>
          <w:sz w:val="28"/>
          <w:szCs w:val="28"/>
        </w:rPr>
        <w:t>QBWD3标段（巴陕段）外线及变压器统计表</w:t>
      </w:r>
    </w:p>
    <w:tbl>
      <w:tblPr>
        <w:tblStyle w:val="12"/>
        <w:tblW w:w="9159" w:type="dxa"/>
        <w:tblInd w:w="93" w:type="dxa"/>
        <w:tblLayout w:type="fixed"/>
        <w:tblCellMar>
          <w:top w:w="0" w:type="dxa"/>
          <w:left w:w="108" w:type="dxa"/>
          <w:bottom w:w="0" w:type="dxa"/>
          <w:right w:w="108" w:type="dxa"/>
        </w:tblCellMar>
      </w:tblPr>
      <w:tblGrid>
        <w:gridCol w:w="807"/>
        <w:gridCol w:w="1787"/>
        <w:gridCol w:w="1231"/>
        <w:gridCol w:w="1218"/>
        <w:gridCol w:w="1279"/>
        <w:gridCol w:w="1462"/>
        <w:gridCol w:w="1375"/>
      </w:tblGrid>
      <w:tr>
        <w:tblPrEx>
          <w:tblCellMar>
            <w:top w:w="0" w:type="dxa"/>
            <w:left w:w="108" w:type="dxa"/>
            <w:bottom w:w="0" w:type="dxa"/>
            <w:right w:w="108" w:type="dxa"/>
          </w:tblCellMar>
        </w:tblPrEx>
        <w:trPr>
          <w:trHeight w:val="81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点位名称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35KV外线长度（米）</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10KV外线长度（米）</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变压器功率（KVA）</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变压器数量（台）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太子洞变电站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米仓山变电站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r>
              <w:rPr>
                <w:rFonts w:hint="eastAsia" w:ascii="宋体" w:hAnsi="宋体" w:eastAsia="宋体" w:cs="宋体"/>
                <w:color w:val="000000"/>
                <w:kern w:val="0"/>
                <w:sz w:val="22"/>
                <w:szCs w:val="22"/>
                <w:lang w:val="en-US" w:eastAsia="zh-CN" w:bidi="ar"/>
              </w:rPr>
              <w:t>75</w:t>
            </w:r>
            <w:r>
              <w:rPr>
                <w:rFonts w:hint="eastAsia" w:ascii="宋体" w:hAnsi="宋体" w:eastAsia="宋体" w:cs="宋体"/>
                <w:color w:val="000000"/>
                <w:kern w:val="0"/>
                <w:sz w:val="22"/>
                <w:szCs w:val="22"/>
                <w:lang w:bidi="ar"/>
              </w:rPr>
              <w:t>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巴中收费站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下两收费站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560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南江南收费站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2004</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南江北收费站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桥亭收费站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关坝收费站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关坝隧道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上两隧道北端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上两隧道南端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胡家梁隧道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梯子岩隧道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1245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高家湾隧道北口</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高家湾隧道南口</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中坝隧道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南江1#隧道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南江2#隧道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2516</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南江3#隧道南端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南江3#隧道北端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香山观隧道北端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香山关隧道南端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1545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射洪寨隧道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86</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八庙隧道北端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1680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八庙隧道南端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4240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630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下两隧道群</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5818</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韩坡岭隧道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蒋家坡隧道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茅贯山隧道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鹰嘴山隧道北端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鹰嘴山隧道南端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射洪寨隧道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马家梁隧道</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895</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米仓山管理处</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1250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光雾山服务区北区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光雾山服务区南区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1150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南江服务区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3</w:t>
            </w:r>
            <w:r>
              <w:rPr>
                <w:rFonts w:hint="eastAsia" w:ascii="宋体" w:hAnsi="宋体" w:eastAsia="宋体" w:cs="宋体"/>
                <w:color w:val="000000"/>
                <w:kern w:val="0"/>
                <w:sz w:val="22"/>
                <w:szCs w:val="22"/>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元潭服务区</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39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米仓山应急站</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4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40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米仓山隧道至斜井风机房（巴中端）</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4</w:t>
            </w:r>
            <w:r>
              <w:rPr>
                <w:rFonts w:hint="eastAsia" w:ascii="宋体" w:hAnsi="宋体" w:eastAsia="宋体" w:cs="宋体"/>
                <w:color w:val="000000"/>
                <w:kern w:val="0"/>
                <w:sz w:val="22"/>
                <w:szCs w:val="22"/>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公司驻地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100/630/800/1000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6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4</w:t>
            </w:r>
            <w:r>
              <w:rPr>
                <w:rFonts w:hint="eastAsia" w:ascii="宋体" w:hAnsi="宋体" w:eastAsia="宋体" w:cs="宋体"/>
                <w:color w:val="000000"/>
                <w:kern w:val="0"/>
                <w:sz w:val="22"/>
                <w:szCs w:val="22"/>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合计</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15</w:t>
            </w:r>
            <w:r>
              <w:rPr>
                <w:rFonts w:hint="eastAsia" w:ascii="宋体" w:hAnsi="宋体" w:eastAsia="宋体" w:cs="宋体"/>
                <w:b/>
                <w:bCs/>
                <w:color w:val="000000"/>
                <w:kern w:val="0"/>
                <w:sz w:val="22"/>
                <w:szCs w:val="22"/>
                <w:lang w:val="en-US" w:eastAsia="zh-CN" w:bidi="ar"/>
              </w:rPr>
              <w:t>77</w:t>
            </w:r>
            <w:r>
              <w:rPr>
                <w:rFonts w:hint="eastAsia" w:ascii="宋体" w:hAnsi="宋体" w:eastAsia="宋体" w:cs="宋体"/>
                <w:b/>
                <w:bCs/>
                <w:color w:val="000000"/>
                <w:kern w:val="0"/>
                <w:sz w:val="22"/>
                <w:szCs w:val="22"/>
                <w:lang w:bidi="ar"/>
              </w:rPr>
              <w:t>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kern w:val="0"/>
                <w:sz w:val="22"/>
                <w:szCs w:val="22"/>
                <w:lang w:val="en-US" w:eastAsia="zh-CN" w:bidi="ar"/>
              </w:rPr>
              <w:t>49600</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kern w:val="0"/>
                <w:sz w:val="22"/>
                <w:szCs w:val="22"/>
                <w:lang w:bidi="ar"/>
              </w:rPr>
              <w:t>6</w:t>
            </w:r>
            <w:r>
              <w:rPr>
                <w:rFonts w:hint="eastAsia" w:ascii="宋体" w:hAnsi="宋体" w:eastAsia="宋体" w:cs="宋体"/>
                <w:b/>
                <w:bCs/>
                <w:color w:val="000000"/>
                <w:kern w:val="0"/>
                <w:sz w:val="22"/>
                <w:szCs w:val="22"/>
                <w:lang w:val="en-US" w:eastAsia="zh-CN" w:bidi="ar"/>
              </w:rPr>
              <w:t>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（三）服务内容：</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 xml:space="preserve"> 1、按照相关法规要求配备专业人员巡检变电站（所），并按规定对变电站（所）设备进行维护，保障设备的正常运行、操作。</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2、按相关规定对所有场外供电线路、用电点及沿线电力设施设备进行巡查和工作状态检测，对影响电力使用安全的情况及时进行调整和维护（包括电杆基础夯实、清理线路抛挂物、电力线路周边树木的修剪、加涂防锈漆、调整拉线、电杆及横担等），并在每月形成完整的巡查报告。</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3、定期对变电站、变电所及线路两端高压设施设备进行检修。</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4、在沿线任一用电点出现故障时，立即到现场进行检查、维修至正常供电。</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5、负责电力线路、配件及相关设施设备的调整、更换和安装。</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6、除以“时间为周期”的日常维修外，还应根据“设备状态”和“天气状态”按照相关规定对供电线路进行专项巡视和检测、以及相应的隐患排查工作。</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7、完善配置必要的防护栅栏和各种安全标示、警示牌，以保证用电线路的安全和不危及他人生命健康。</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8、负责设备的技术监督和年度预试、定检工作且出具定检报告（含变压器预防性试验检测）；负责与地、县的联系与协调工作；负责各项技术、资料的记录与管理。</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rPr>
        <w:t>三、比选报价</w:t>
      </w:r>
    </w:p>
    <w:p>
      <w:pPr>
        <w:tabs>
          <w:tab w:val="center" w:pos="4153"/>
        </w:tabs>
        <w:spacing w:line="560" w:lineRule="atLeast"/>
        <w:ind w:left="19" w:firstLine="736" w:firstLineChars="229"/>
        <w:rPr>
          <w:rFonts w:hint="eastAsia" w:eastAsiaTheme="minorEastAsia"/>
          <w:spacing w:val="-5"/>
          <w:sz w:val="28"/>
          <w:szCs w:val="28"/>
        </w:rPr>
      </w:pPr>
      <w:r>
        <w:rPr>
          <w:rFonts w:hint="eastAsia" w:ascii="仿宋_GB2312" w:hAnsi="宋体" w:eastAsia="仿宋_GB2312" w:cs="Courier New"/>
          <w:b/>
          <w:kern w:val="0"/>
        </w:rPr>
        <w:t>（一）</w:t>
      </w:r>
      <w:r>
        <w:rPr>
          <w:rFonts w:hint="eastAsia" w:eastAsiaTheme="minorEastAsia"/>
          <w:spacing w:val="-5"/>
          <w:sz w:val="28"/>
          <w:szCs w:val="28"/>
        </w:rPr>
        <w:t>本项目</w:t>
      </w:r>
      <w:r>
        <w:rPr>
          <w:rFonts w:hint="eastAsia" w:eastAsiaTheme="minorEastAsia"/>
          <w:spacing w:val="-5"/>
          <w:sz w:val="28"/>
          <w:szCs w:val="28"/>
          <w:lang w:eastAsia="zh-CN"/>
        </w:rPr>
        <w:t>比选</w:t>
      </w:r>
      <w:r>
        <w:rPr>
          <w:rFonts w:hint="eastAsia" w:eastAsiaTheme="minorEastAsia"/>
          <w:spacing w:val="-5"/>
          <w:sz w:val="28"/>
          <w:szCs w:val="28"/>
        </w:rPr>
        <w:t>巴南段最高限价为人民币¥</w:t>
      </w:r>
      <w:r>
        <w:rPr>
          <w:rFonts w:ascii="仿宋" w:hAnsi="仿宋" w:eastAsia="仿宋"/>
        </w:rPr>
        <w:t>34.9</w:t>
      </w:r>
      <w:r>
        <w:rPr>
          <w:rFonts w:hint="eastAsia" w:eastAsiaTheme="minorEastAsia"/>
          <w:spacing w:val="-5"/>
          <w:sz w:val="28"/>
          <w:szCs w:val="28"/>
        </w:rPr>
        <w:t>万元</w:t>
      </w:r>
      <w:r>
        <w:rPr>
          <w:rFonts w:hint="eastAsia" w:eastAsiaTheme="minorEastAsia"/>
          <w:spacing w:val="-5"/>
          <w:sz w:val="28"/>
          <w:szCs w:val="28"/>
          <w:lang w:val="en-US" w:eastAsia="zh-CN"/>
        </w:rPr>
        <w:t>/年</w:t>
      </w:r>
      <w:r>
        <w:rPr>
          <w:rFonts w:hint="eastAsia" w:eastAsiaTheme="minorEastAsia"/>
          <w:spacing w:val="-5"/>
          <w:sz w:val="28"/>
          <w:szCs w:val="28"/>
        </w:rPr>
        <w:t>(大写：叁拾肆万玖仟元整</w:t>
      </w:r>
      <w:r>
        <w:rPr>
          <w:rFonts w:hint="eastAsia" w:eastAsiaTheme="minorEastAsia"/>
          <w:spacing w:val="-5"/>
          <w:sz w:val="28"/>
          <w:szCs w:val="28"/>
          <w:lang w:val="en-US" w:eastAsia="zh-CN"/>
        </w:rPr>
        <w:t>/年</w:t>
      </w:r>
      <w:r>
        <w:rPr>
          <w:rFonts w:hint="eastAsia" w:eastAsiaTheme="minorEastAsia"/>
          <w:spacing w:val="-5"/>
          <w:sz w:val="28"/>
          <w:szCs w:val="28"/>
        </w:rPr>
        <w:t>),广巴段最高限价为人民币¥</w:t>
      </w:r>
      <w:r>
        <w:rPr>
          <w:rFonts w:ascii="仿宋" w:hAnsi="仿宋" w:eastAsia="仿宋"/>
        </w:rPr>
        <w:t>43.71</w:t>
      </w:r>
      <w:r>
        <w:rPr>
          <w:rFonts w:hint="eastAsia" w:eastAsiaTheme="minorEastAsia"/>
          <w:spacing w:val="-5"/>
          <w:sz w:val="28"/>
          <w:szCs w:val="28"/>
        </w:rPr>
        <w:t>万元</w:t>
      </w:r>
      <w:r>
        <w:rPr>
          <w:rFonts w:hint="eastAsia" w:eastAsiaTheme="minorEastAsia"/>
          <w:spacing w:val="-5"/>
          <w:sz w:val="28"/>
          <w:szCs w:val="28"/>
          <w:lang w:val="en-US" w:eastAsia="zh-CN"/>
        </w:rPr>
        <w:t>/年</w:t>
      </w:r>
      <w:r>
        <w:rPr>
          <w:rFonts w:hint="eastAsia" w:eastAsiaTheme="minorEastAsia"/>
          <w:spacing w:val="-5"/>
          <w:sz w:val="28"/>
          <w:szCs w:val="28"/>
        </w:rPr>
        <w:t>(大写：肆拾叁万柒仟壹佰元整</w:t>
      </w:r>
      <w:r>
        <w:rPr>
          <w:rFonts w:hint="eastAsia" w:eastAsiaTheme="minorEastAsia"/>
          <w:spacing w:val="-5"/>
          <w:sz w:val="28"/>
          <w:szCs w:val="28"/>
          <w:lang w:val="en-US" w:eastAsia="zh-CN"/>
        </w:rPr>
        <w:t>/年</w:t>
      </w:r>
      <w:r>
        <w:rPr>
          <w:rFonts w:hint="eastAsia" w:eastAsiaTheme="minorEastAsia"/>
          <w:spacing w:val="-5"/>
          <w:sz w:val="28"/>
          <w:szCs w:val="28"/>
        </w:rPr>
        <w:t>),巴陕段最高限价为人民币¥</w:t>
      </w:r>
      <w:r>
        <w:rPr>
          <w:rFonts w:ascii="仿宋" w:hAnsi="仿宋" w:eastAsia="仿宋"/>
        </w:rPr>
        <w:t>65</w:t>
      </w:r>
      <w:r>
        <w:rPr>
          <w:rFonts w:hint="eastAsia" w:eastAsiaTheme="minorEastAsia"/>
          <w:spacing w:val="-5"/>
          <w:sz w:val="28"/>
          <w:szCs w:val="28"/>
        </w:rPr>
        <w:t>万元</w:t>
      </w:r>
      <w:r>
        <w:rPr>
          <w:rFonts w:hint="eastAsia" w:eastAsiaTheme="minorEastAsia"/>
          <w:spacing w:val="-5"/>
          <w:sz w:val="28"/>
          <w:szCs w:val="28"/>
          <w:lang w:val="en-US" w:eastAsia="zh-CN"/>
        </w:rPr>
        <w:t>/年</w:t>
      </w:r>
      <w:r>
        <w:rPr>
          <w:rFonts w:hint="eastAsia" w:eastAsiaTheme="minorEastAsia"/>
          <w:spacing w:val="-5"/>
          <w:sz w:val="28"/>
          <w:szCs w:val="28"/>
        </w:rPr>
        <w:t>(大写：陆拾伍万元整</w:t>
      </w:r>
      <w:r>
        <w:rPr>
          <w:rFonts w:hint="eastAsia" w:eastAsiaTheme="minorEastAsia"/>
          <w:spacing w:val="-5"/>
          <w:sz w:val="28"/>
          <w:szCs w:val="28"/>
          <w:lang w:val="en-US" w:eastAsia="zh-CN"/>
        </w:rPr>
        <w:t>/年</w:t>
      </w:r>
      <w:r>
        <w:rPr>
          <w:rFonts w:hint="eastAsia" w:eastAsiaTheme="minorEastAsia"/>
          <w:spacing w:val="-5"/>
          <w:sz w:val="28"/>
          <w:szCs w:val="28"/>
        </w:rPr>
        <w:t>)；</w:t>
      </w:r>
    </w:p>
    <w:p>
      <w:pPr>
        <w:tabs>
          <w:tab w:val="center" w:pos="4153"/>
        </w:tabs>
        <w:spacing w:line="560" w:lineRule="atLeast"/>
        <w:ind w:left="19" w:firstLine="736" w:firstLineChars="229"/>
        <w:rPr>
          <w:rFonts w:hint="eastAsia" w:eastAsiaTheme="minorEastAsia"/>
          <w:spacing w:val="-5"/>
          <w:sz w:val="28"/>
          <w:szCs w:val="28"/>
          <w:lang w:eastAsia="zh-CN"/>
        </w:rPr>
      </w:pPr>
      <w:r>
        <w:rPr>
          <w:rFonts w:hint="eastAsia" w:ascii="仿宋_GB2312" w:hAnsi="宋体" w:eastAsia="仿宋_GB2312" w:cs="Courier New"/>
          <w:b/>
          <w:kern w:val="0"/>
        </w:rPr>
        <w:t>（二）</w:t>
      </w:r>
      <w:r>
        <w:rPr>
          <w:rFonts w:hint="eastAsia" w:eastAsiaTheme="minorEastAsia"/>
          <w:spacing w:val="-5"/>
          <w:sz w:val="28"/>
          <w:szCs w:val="28"/>
          <w:lang w:eastAsia="zh-CN"/>
        </w:rPr>
        <w:t>《材料清单表》不包含在本次最高限价内，作为维护过程中材料采购另行计费。</w:t>
      </w:r>
    </w:p>
    <w:p>
      <w:pPr>
        <w:tabs>
          <w:tab w:val="center" w:pos="4153"/>
        </w:tabs>
        <w:spacing w:line="560" w:lineRule="atLeast"/>
        <w:ind w:left="19" w:firstLine="736" w:firstLineChars="229"/>
        <w:rPr>
          <w:rFonts w:eastAsiaTheme="minorEastAsia"/>
          <w:spacing w:val="-5"/>
          <w:sz w:val="28"/>
          <w:szCs w:val="28"/>
        </w:rPr>
      </w:pPr>
      <w:r>
        <w:rPr>
          <w:rFonts w:hint="eastAsia" w:ascii="仿宋_GB2312" w:hAnsi="宋体" w:eastAsia="仿宋_GB2312" w:cs="Courier New"/>
          <w:b/>
          <w:kern w:val="0"/>
        </w:rPr>
        <w:t>（</w:t>
      </w:r>
      <w:r>
        <w:rPr>
          <w:rFonts w:hint="eastAsia" w:ascii="仿宋_GB2312" w:hAnsi="宋体" w:eastAsia="仿宋_GB2312" w:cs="Courier New"/>
          <w:b/>
          <w:kern w:val="0"/>
          <w:lang w:eastAsia="zh-CN"/>
        </w:rPr>
        <w:t>三</w:t>
      </w:r>
      <w:r>
        <w:rPr>
          <w:rFonts w:hint="eastAsia" w:ascii="仿宋_GB2312" w:hAnsi="宋体" w:eastAsia="仿宋_GB2312" w:cs="Courier New"/>
          <w:b/>
          <w:kern w:val="0"/>
        </w:rPr>
        <w:t>）</w:t>
      </w:r>
      <w:r>
        <w:rPr>
          <w:rFonts w:hint="eastAsia" w:eastAsiaTheme="minorEastAsia"/>
          <w:spacing w:val="-5"/>
          <w:sz w:val="28"/>
          <w:szCs w:val="28"/>
        </w:rPr>
        <w:t>本次比选对四川秦巴高速公路有限责任公司巴南段、广巴段、巴陕段场外电力线路及设施设备日常维护费用折扣系数进行</w:t>
      </w:r>
      <w:r>
        <w:rPr>
          <w:rFonts w:hint="eastAsia" w:eastAsiaTheme="minorEastAsia"/>
          <w:spacing w:val="-5"/>
          <w:sz w:val="28"/>
          <w:szCs w:val="28"/>
          <w:lang w:eastAsia="zh-CN"/>
        </w:rPr>
        <w:t>比选</w:t>
      </w:r>
      <w:r>
        <w:rPr>
          <w:rFonts w:hint="eastAsia" w:eastAsiaTheme="minorEastAsia"/>
          <w:spacing w:val="-5"/>
          <w:sz w:val="28"/>
          <w:szCs w:val="28"/>
        </w:rPr>
        <w:t>，</w:t>
      </w:r>
      <w:r>
        <w:rPr>
          <w:rFonts w:hint="eastAsia" w:eastAsiaTheme="minorEastAsia"/>
          <w:spacing w:val="-5"/>
          <w:sz w:val="28"/>
          <w:szCs w:val="28"/>
          <w:lang w:eastAsia="zh-CN"/>
        </w:rPr>
        <w:t>比选</w:t>
      </w:r>
      <w:r>
        <w:rPr>
          <w:rFonts w:hint="eastAsia" w:eastAsiaTheme="minorEastAsia"/>
          <w:spacing w:val="-5"/>
          <w:sz w:val="28"/>
          <w:szCs w:val="28"/>
        </w:rPr>
        <w:t>系数上限为100%。比选报价系数高于报价系数上限的</w:t>
      </w:r>
      <w:r>
        <w:rPr>
          <w:rFonts w:hint="eastAsia" w:eastAsiaTheme="minorEastAsia"/>
          <w:spacing w:val="-5"/>
          <w:sz w:val="28"/>
          <w:szCs w:val="28"/>
          <w:lang w:eastAsia="zh-CN"/>
        </w:rPr>
        <w:t>比选</w:t>
      </w:r>
      <w:r>
        <w:rPr>
          <w:rFonts w:hint="eastAsia" w:eastAsiaTheme="minorEastAsia"/>
          <w:spacing w:val="-5"/>
          <w:sz w:val="28"/>
          <w:szCs w:val="28"/>
        </w:rPr>
        <w:t>申请文件将被视为无效。</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lang w:val="en-US" w:eastAsia="zh-CN"/>
        </w:rPr>
        <w:t>四</w:t>
      </w:r>
      <w:r>
        <w:rPr>
          <w:rFonts w:hint="eastAsia" w:ascii="仿宋_GB2312" w:hAnsi="宋体" w:eastAsia="仿宋_GB2312" w:cs="Courier New"/>
          <w:b/>
          <w:kern w:val="0"/>
        </w:rPr>
        <w:t>、</w:t>
      </w:r>
      <w:r>
        <w:rPr>
          <w:rFonts w:hint="eastAsia" w:ascii="仿宋_GB2312" w:hAnsi="宋体" w:eastAsia="仿宋_GB2312" w:cs="Courier New"/>
          <w:b/>
          <w:kern w:val="0"/>
          <w:lang w:eastAsia="zh-CN"/>
        </w:rPr>
        <w:t>比选申请人</w:t>
      </w:r>
      <w:r>
        <w:rPr>
          <w:rFonts w:hint="eastAsia" w:ascii="仿宋_GB2312" w:hAnsi="宋体" w:eastAsia="仿宋_GB2312" w:cs="Courier New"/>
          <w:b/>
          <w:kern w:val="0"/>
        </w:rPr>
        <w:t>资格及相关要求</w:t>
      </w:r>
    </w:p>
    <w:p>
      <w:pPr>
        <w:tabs>
          <w:tab w:val="center" w:pos="4153"/>
        </w:tabs>
        <w:spacing w:line="560" w:lineRule="atLeast"/>
        <w:ind w:left="19" w:firstLine="618" w:firstLineChars="229"/>
        <w:rPr>
          <w:rFonts w:eastAsiaTheme="minorEastAsia"/>
          <w:spacing w:val="-5"/>
          <w:sz w:val="28"/>
          <w:szCs w:val="28"/>
        </w:rPr>
      </w:pPr>
      <w:r>
        <w:rPr>
          <w:rFonts w:hint="eastAsia" w:eastAsiaTheme="minorEastAsia"/>
          <w:spacing w:val="-5"/>
          <w:sz w:val="28"/>
          <w:szCs w:val="28"/>
        </w:rPr>
        <w:t>（一）本次</w:t>
      </w:r>
      <w:r>
        <w:rPr>
          <w:rFonts w:hint="eastAsia" w:eastAsiaTheme="minorEastAsia"/>
          <w:spacing w:val="-5"/>
          <w:sz w:val="28"/>
          <w:szCs w:val="28"/>
          <w:lang w:eastAsia="zh-CN"/>
        </w:rPr>
        <w:t>比选</w:t>
      </w:r>
      <w:r>
        <w:rPr>
          <w:rFonts w:hint="eastAsia" w:eastAsiaTheme="minorEastAsia"/>
          <w:spacing w:val="-5"/>
          <w:sz w:val="28"/>
          <w:szCs w:val="28"/>
        </w:rPr>
        <w:t>要求</w:t>
      </w:r>
      <w:r>
        <w:rPr>
          <w:rFonts w:hint="eastAsia" w:eastAsiaTheme="minorEastAsia"/>
          <w:spacing w:val="-5"/>
          <w:sz w:val="28"/>
          <w:szCs w:val="28"/>
          <w:lang w:eastAsia="zh-CN"/>
        </w:rPr>
        <w:t>比选申请人</w:t>
      </w:r>
      <w:r>
        <w:rPr>
          <w:rFonts w:hint="eastAsia" w:eastAsiaTheme="minorEastAsia"/>
          <w:spacing w:val="-5"/>
          <w:sz w:val="28"/>
          <w:szCs w:val="28"/>
        </w:rPr>
        <w:t>资格要求：</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1.具有独立法人资格，在中华人民共和国境内依法登记注册并有效存续的，具有独立法人资格的企业或事业单位。</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2.具备电力工程施工总承包三级及以上资质、且具备电力相关行政主管部门颁发的《承装（修、试）电力设施许可证》，且许可类别和等级为“四级承装类及以上”、“四级承修类及以上”和“四级承试类及以上”资质；具备质量、环境、职业健康管理体系认证证书并在有效期内。</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3.提供近3年（2020年1月1日起）新承接或在建或已完成电力工程合同业绩1个，合同金额</w:t>
      </w:r>
      <w:r>
        <w:rPr>
          <w:rFonts w:eastAsiaTheme="minorEastAsia"/>
          <w:spacing w:val="-5"/>
          <w:sz w:val="28"/>
          <w:szCs w:val="28"/>
        </w:rPr>
        <w:t>100万</w:t>
      </w:r>
      <w:r>
        <w:rPr>
          <w:rFonts w:hint="eastAsia" w:eastAsiaTheme="minorEastAsia"/>
          <w:spacing w:val="-5"/>
          <w:sz w:val="28"/>
          <w:szCs w:val="28"/>
        </w:rPr>
        <w:t>元以上（提供合同、验收报告复印件加盖公章）；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4.在“信用中国”网站（www.creditchina.gov.cn）中未被列入失信被执行人名单。</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5.</w:t>
      </w:r>
      <w:r>
        <w:rPr>
          <w:rFonts w:hint="eastAsia" w:eastAsiaTheme="minorEastAsia"/>
          <w:spacing w:val="-5"/>
          <w:sz w:val="28"/>
          <w:szCs w:val="28"/>
          <w:lang w:eastAsia="zh-CN"/>
        </w:rPr>
        <w:t>比选</w:t>
      </w:r>
      <w:r>
        <w:rPr>
          <w:rFonts w:hint="eastAsia" w:eastAsiaTheme="minorEastAsia"/>
          <w:spacing w:val="-5"/>
          <w:sz w:val="28"/>
          <w:szCs w:val="28"/>
        </w:rPr>
        <w:t>申请人（单位）或法定代表人、项目负责人、技术负责人近三年（2020年1月1日起至今）有行贿犯罪档案记录的，不得参加询比申请。（人员均需提供近6个月及以上连续不断的社保证明）</w:t>
      </w:r>
    </w:p>
    <w:p>
      <w:pPr>
        <w:pStyle w:val="2"/>
        <w:spacing w:line="560" w:lineRule="atLeast"/>
        <w:ind w:left="0" w:leftChars="0" w:firstLine="540"/>
      </w:pPr>
      <w:r>
        <w:rPr>
          <w:rFonts w:hint="eastAsia" w:eastAsiaTheme="minorEastAsia"/>
          <w:spacing w:val="-5"/>
          <w:sz w:val="28"/>
          <w:szCs w:val="28"/>
        </w:rPr>
        <w:t>6.同一</w:t>
      </w:r>
      <w:r>
        <w:rPr>
          <w:rFonts w:hint="eastAsia" w:eastAsiaTheme="minorEastAsia"/>
          <w:spacing w:val="-5"/>
          <w:sz w:val="28"/>
          <w:szCs w:val="28"/>
          <w:lang w:eastAsia="zh-CN"/>
        </w:rPr>
        <w:t>比选申请人</w:t>
      </w:r>
      <w:r>
        <w:rPr>
          <w:rFonts w:hint="eastAsia" w:eastAsiaTheme="minorEastAsia"/>
          <w:spacing w:val="-5"/>
          <w:sz w:val="28"/>
          <w:szCs w:val="28"/>
        </w:rPr>
        <w:t>只能选择一个标段投标。</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（二）本项目不允许分包。</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（三）</w:t>
      </w:r>
      <w:r>
        <w:rPr>
          <w:rFonts w:hint="eastAsia" w:eastAsiaTheme="minorEastAsia"/>
          <w:spacing w:val="-5"/>
          <w:sz w:val="28"/>
          <w:szCs w:val="28"/>
          <w:lang w:eastAsia="zh-CN"/>
        </w:rPr>
        <w:t>比选申请人</w:t>
      </w:r>
      <w:r>
        <w:rPr>
          <w:rFonts w:hint="eastAsia" w:eastAsiaTheme="minorEastAsia"/>
          <w:spacing w:val="-5"/>
          <w:sz w:val="28"/>
          <w:szCs w:val="28"/>
        </w:rPr>
        <w:t>单位负责人为同一人或者存在控股、管理关系的不同单位，不得参加同一标段投标。否则，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（四）</w:t>
      </w:r>
      <w:r>
        <w:rPr>
          <w:rFonts w:hint="eastAsia" w:eastAsiaTheme="minorEastAsia"/>
          <w:spacing w:val="-5"/>
          <w:sz w:val="28"/>
          <w:szCs w:val="28"/>
          <w:lang w:eastAsia="zh-CN"/>
        </w:rPr>
        <w:t>比选申请</w:t>
      </w:r>
      <w:r>
        <w:rPr>
          <w:rFonts w:hint="eastAsia" w:eastAsiaTheme="minorEastAsia"/>
          <w:spacing w:val="-5"/>
          <w:sz w:val="28"/>
          <w:szCs w:val="28"/>
        </w:rPr>
        <w:t>人对招标人商业信息及技术资料保密。</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（五）</w:t>
      </w:r>
      <w:r>
        <w:rPr>
          <w:rFonts w:hint="eastAsia" w:eastAsiaTheme="minorEastAsia"/>
          <w:spacing w:val="-5"/>
          <w:sz w:val="28"/>
          <w:szCs w:val="28"/>
          <w:lang w:eastAsia="zh-CN"/>
        </w:rPr>
        <w:t>比选申请</w:t>
      </w:r>
      <w:r>
        <w:rPr>
          <w:rFonts w:hint="eastAsia" w:eastAsiaTheme="minorEastAsia"/>
          <w:spacing w:val="-5"/>
          <w:sz w:val="28"/>
          <w:szCs w:val="28"/>
        </w:rPr>
        <w:t>人在现场开展服务时，必须遵守</w:t>
      </w:r>
      <w:r>
        <w:rPr>
          <w:rFonts w:hint="eastAsia" w:eastAsiaTheme="minorEastAsia"/>
          <w:spacing w:val="-5"/>
          <w:sz w:val="28"/>
          <w:szCs w:val="28"/>
          <w:lang w:eastAsia="zh-CN"/>
        </w:rPr>
        <w:t>比选</w:t>
      </w:r>
      <w:r>
        <w:rPr>
          <w:rFonts w:hint="eastAsia" w:eastAsiaTheme="minorEastAsia"/>
          <w:spacing w:val="-5"/>
          <w:sz w:val="28"/>
          <w:szCs w:val="28"/>
        </w:rPr>
        <w:t>人的相关安全规章制度，不得违规操作。</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六）维护人员应具备高低压设备维护要求的资质证书，具有高压电工作业证书；维护人员应具有良好的职业道德，较高的技能水平和综台素质，熟悉代维高压设备的基本结构和技术知识。（人员均需提供近6个月及以上连续不断的社保证明）</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五、招标文件的获取及开标相关事宜</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凡具备上述条件并有意参加本项目的</w:t>
      </w:r>
      <w:r>
        <w:rPr>
          <w:rFonts w:hint="eastAsia" w:eastAsiaTheme="minorEastAsia"/>
          <w:spacing w:val="-5"/>
          <w:sz w:val="28"/>
          <w:szCs w:val="28"/>
          <w:lang w:eastAsia="zh-CN"/>
        </w:rPr>
        <w:t>比选申请人</w:t>
      </w:r>
      <w:r>
        <w:rPr>
          <w:rFonts w:hint="eastAsia" w:eastAsiaTheme="minorEastAsia"/>
          <w:spacing w:val="-5"/>
          <w:sz w:val="28"/>
          <w:szCs w:val="28"/>
        </w:rPr>
        <w:t>，请自行安排现场勘查工作，并于2023年</w:t>
      </w:r>
      <w:r>
        <w:rPr>
          <w:rFonts w:hint="eastAsia" w:eastAsiaTheme="minorEastAsia"/>
          <w:spacing w:val="-5"/>
          <w:sz w:val="28"/>
          <w:szCs w:val="28"/>
          <w:lang w:val="en-US" w:eastAsia="zh-CN"/>
        </w:rPr>
        <w:t>10</w:t>
      </w:r>
      <w:r>
        <w:rPr>
          <w:rFonts w:hint="eastAsia" w:eastAsiaTheme="minorEastAsia"/>
          <w:spacing w:val="-5"/>
          <w:sz w:val="28"/>
          <w:szCs w:val="28"/>
        </w:rPr>
        <w:t>月</w:t>
      </w:r>
      <w:r>
        <w:rPr>
          <w:rFonts w:hint="eastAsia" w:eastAsiaTheme="minorEastAsia"/>
          <w:spacing w:val="-5"/>
          <w:sz w:val="28"/>
          <w:szCs w:val="28"/>
          <w:lang w:val="en-US" w:eastAsia="zh-CN"/>
        </w:rPr>
        <w:t>23</w:t>
      </w:r>
      <w:r>
        <w:rPr>
          <w:rFonts w:hint="eastAsia" w:eastAsiaTheme="minorEastAsia"/>
          <w:spacing w:val="-5"/>
          <w:sz w:val="28"/>
          <w:szCs w:val="28"/>
        </w:rPr>
        <w:t>日至2023年</w:t>
      </w:r>
      <w:r>
        <w:rPr>
          <w:rFonts w:hint="eastAsia" w:eastAsiaTheme="minorEastAsia"/>
          <w:spacing w:val="-5"/>
          <w:sz w:val="28"/>
          <w:szCs w:val="28"/>
          <w:lang w:val="en-US" w:eastAsia="zh-CN"/>
        </w:rPr>
        <w:t>10</w:t>
      </w:r>
      <w:r>
        <w:rPr>
          <w:rFonts w:hint="eastAsia" w:eastAsiaTheme="minorEastAsia"/>
          <w:spacing w:val="-5"/>
          <w:sz w:val="28"/>
          <w:szCs w:val="28"/>
        </w:rPr>
        <w:t>月</w:t>
      </w:r>
      <w:r>
        <w:rPr>
          <w:rFonts w:hint="eastAsia" w:eastAsiaTheme="minorEastAsia"/>
          <w:spacing w:val="-5"/>
          <w:sz w:val="28"/>
          <w:szCs w:val="28"/>
          <w:lang w:val="en-US" w:eastAsia="zh-CN"/>
        </w:rPr>
        <w:t>26</w:t>
      </w:r>
      <w:r>
        <w:rPr>
          <w:rFonts w:hint="eastAsia" w:eastAsiaTheme="minorEastAsia"/>
          <w:spacing w:val="-5"/>
          <w:sz w:val="28"/>
          <w:szCs w:val="28"/>
        </w:rPr>
        <w:t>日，在四川秦巴高速公路有限责任公司网站</w:t>
      </w:r>
      <w:r>
        <w:fldChar w:fldCharType="begin"/>
      </w:r>
      <w:r>
        <w:instrText xml:space="preserve"> HYPERLINK "http://www.cngs3w.cn/" </w:instrText>
      </w:r>
      <w:r>
        <w:fldChar w:fldCharType="separate"/>
      </w:r>
      <w:r>
        <w:rPr>
          <w:rFonts w:hint="eastAsia" w:eastAsiaTheme="minorEastAsia"/>
          <w:spacing w:val="-5"/>
          <w:sz w:val="28"/>
          <w:szCs w:val="28"/>
        </w:rPr>
        <w:t>（https://qbgs.scgs.com.cn/</w:t>
      </w:r>
      <w:r>
        <w:rPr>
          <w:rFonts w:hint="eastAsia" w:eastAsiaTheme="minorEastAsia"/>
          <w:spacing w:val="-5"/>
          <w:sz w:val="28"/>
          <w:szCs w:val="28"/>
        </w:rPr>
        <w:fldChar w:fldCharType="end"/>
      </w:r>
      <w:r>
        <w:rPr>
          <w:rFonts w:hint="eastAsia" w:eastAsiaTheme="minorEastAsia"/>
          <w:spacing w:val="-5"/>
          <w:sz w:val="28"/>
          <w:szCs w:val="28"/>
        </w:rPr>
        <w:t>）上自行下载获取</w:t>
      </w:r>
      <w:r>
        <w:rPr>
          <w:rFonts w:hint="eastAsia" w:eastAsiaTheme="minorEastAsia"/>
          <w:spacing w:val="-5"/>
          <w:sz w:val="28"/>
          <w:szCs w:val="28"/>
          <w:lang w:eastAsia="zh-CN"/>
        </w:rPr>
        <w:t>比选</w:t>
      </w:r>
      <w:r>
        <w:rPr>
          <w:rFonts w:hint="eastAsia" w:eastAsiaTheme="minorEastAsia"/>
          <w:spacing w:val="-5"/>
          <w:sz w:val="28"/>
          <w:szCs w:val="28"/>
        </w:rPr>
        <w:t>文件。</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投标文件递交时间为2023年</w:t>
      </w:r>
      <w:r>
        <w:rPr>
          <w:rFonts w:hint="eastAsia" w:eastAsiaTheme="minorEastAsia"/>
          <w:spacing w:val="-5"/>
          <w:sz w:val="28"/>
          <w:szCs w:val="28"/>
          <w:lang w:val="en-US" w:eastAsia="zh-CN"/>
        </w:rPr>
        <w:t>10</w:t>
      </w:r>
      <w:r>
        <w:rPr>
          <w:rFonts w:hint="eastAsia" w:eastAsiaTheme="minorEastAsia"/>
          <w:spacing w:val="-5"/>
          <w:sz w:val="28"/>
          <w:szCs w:val="28"/>
        </w:rPr>
        <w:t>月</w:t>
      </w:r>
      <w:r>
        <w:rPr>
          <w:rFonts w:hint="eastAsia" w:eastAsiaTheme="minorEastAsia"/>
          <w:spacing w:val="-5"/>
          <w:sz w:val="28"/>
          <w:szCs w:val="28"/>
          <w:lang w:val="en-US" w:eastAsia="zh-CN"/>
        </w:rPr>
        <w:t>26</w:t>
      </w:r>
      <w:r>
        <w:rPr>
          <w:rFonts w:hint="eastAsia" w:eastAsiaTheme="minorEastAsia"/>
          <w:spacing w:val="-5"/>
          <w:sz w:val="28"/>
          <w:szCs w:val="28"/>
        </w:rPr>
        <w:t>日</w:t>
      </w:r>
      <w:r>
        <w:rPr>
          <w:rFonts w:hint="eastAsia" w:eastAsiaTheme="minorEastAsia"/>
          <w:spacing w:val="-5"/>
          <w:sz w:val="28"/>
          <w:szCs w:val="28"/>
          <w:lang w:val="en-US" w:eastAsia="zh-CN"/>
        </w:rPr>
        <w:t>15</w:t>
      </w:r>
      <w:r>
        <w:rPr>
          <w:rFonts w:hint="eastAsia" w:eastAsiaTheme="minorEastAsia"/>
          <w:spacing w:val="-5"/>
          <w:sz w:val="28"/>
          <w:szCs w:val="28"/>
        </w:rPr>
        <w:t>时</w:t>
      </w:r>
      <w:r>
        <w:rPr>
          <w:rFonts w:hint="eastAsia" w:eastAsiaTheme="minorEastAsia"/>
          <w:spacing w:val="-5"/>
          <w:sz w:val="28"/>
          <w:szCs w:val="28"/>
          <w:lang w:val="en-US" w:eastAsia="zh-CN"/>
        </w:rPr>
        <w:t>15</w:t>
      </w:r>
      <w:r>
        <w:rPr>
          <w:rFonts w:hint="eastAsia" w:eastAsiaTheme="minorEastAsia"/>
          <w:spacing w:val="-5"/>
          <w:sz w:val="28"/>
          <w:szCs w:val="28"/>
        </w:rPr>
        <w:t>分至2023年</w:t>
      </w:r>
      <w:r>
        <w:rPr>
          <w:rFonts w:hint="eastAsia" w:eastAsiaTheme="minorEastAsia"/>
          <w:spacing w:val="-5"/>
          <w:sz w:val="28"/>
          <w:szCs w:val="28"/>
          <w:lang w:val="en-US" w:eastAsia="zh-CN"/>
        </w:rPr>
        <w:t>10</w:t>
      </w:r>
      <w:r>
        <w:rPr>
          <w:rFonts w:hint="eastAsia" w:eastAsiaTheme="minorEastAsia"/>
          <w:spacing w:val="-5"/>
          <w:sz w:val="28"/>
          <w:szCs w:val="28"/>
        </w:rPr>
        <w:t>月</w:t>
      </w:r>
      <w:r>
        <w:rPr>
          <w:rFonts w:hint="eastAsia" w:eastAsiaTheme="minorEastAsia"/>
          <w:spacing w:val="-5"/>
          <w:sz w:val="28"/>
          <w:szCs w:val="28"/>
          <w:lang w:val="en-US" w:eastAsia="zh-CN"/>
        </w:rPr>
        <w:t>26</w:t>
      </w:r>
      <w:r>
        <w:rPr>
          <w:rFonts w:hint="eastAsia" w:eastAsiaTheme="minorEastAsia"/>
          <w:spacing w:val="-5"/>
          <w:sz w:val="28"/>
          <w:szCs w:val="28"/>
        </w:rPr>
        <w:t>日</w:t>
      </w:r>
      <w:r>
        <w:rPr>
          <w:rFonts w:hint="eastAsia" w:eastAsiaTheme="minorEastAsia"/>
          <w:spacing w:val="-5"/>
          <w:sz w:val="28"/>
          <w:szCs w:val="28"/>
          <w:lang w:val="en-US" w:eastAsia="zh-CN"/>
        </w:rPr>
        <w:t>15</w:t>
      </w:r>
      <w:r>
        <w:rPr>
          <w:rFonts w:hint="eastAsia" w:eastAsiaTheme="minorEastAsia"/>
          <w:spacing w:val="-5"/>
          <w:sz w:val="28"/>
          <w:szCs w:val="28"/>
        </w:rPr>
        <w:t>时</w:t>
      </w:r>
      <w:r>
        <w:rPr>
          <w:rFonts w:hint="eastAsia" w:eastAsiaTheme="minorEastAsia"/>
          <w:spacing w:val="-5"/>
          <w:sz w:val="28"/>
          <w:szCs w:val="28"/>
          <w:lang w:val="en-US" w:eastAsia="zh-CN"/>
        </w:rPr>
        <w:t>30</w:t>
      </w:r>
      <w:r>
        <w:rPr>
          <w:rFonts w:hint="eastAsia" w:eastAsiaTheme="minorEastAsia"/>
          <w:spacing w:val="-5"/>
          <w:sz w:val="28"/>
          <w:szCs w:val="28"/>
        </w:rPr>
        <w:t>分，送交地点为四川秦巴高速公路有限责任公司210办公室，逾期送达的或者未送达到指定地点的投标文件不予受理，不接受邮寄方式投递的投标文件。招标人将于送交投标文件截止的同一时间、同一地点公开各</w:t>
      </w:r>
      <w:r>
        <w:rPr>
          <w:rFonts w:hint="eastAsia" w:eastAsiaTheme="minorEastAsia"/>
          <w:spacing w:val="-5"/>
          <w:sz w:val="28"/>
          <w:szCs w:val="28"/>
          <w:lang w:eastAsia="zh-CN"/>
        </w:rPr>
        <w:t>比选申请人</w:t>
      </w:r>
      <w:r>
        <w:rPr>
          <w:rFonts w:hint="eastAsia" w:eastAsiaTheme="minorEastAsia"/>
          <w:spacing w:val="-5"/>
          <w:sz w:val="28"/>
          <w:szCs w:val="28"/>
        </w:rPr>
        <w:t>的投标价。</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六、评标办法</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（一）本次</w:t>
      </w:r>
      <w:r>
        <w:rPr>
          <w:rFonts w:hint="eastAsia" w:eastAsiaTheme="minorEastAsia"/>
          <w:spacing w:val="-5"/>
          <w:sz w:val="28"/>
          <w:szCs w:val="28"/>
          <w:lang w:eastAsia="zh-CN"/>
        </w:rPr>
        <w:t>比选</w:t>
      </w:r>
      <w:r>
        <w:rPr>
          <w:rFonts w:hint="eastAsia" w:eastAsiaTheme="minorEastAsia"/>
          <w:spacing w:val="-5"/>
          <w:sz w:val="28"/>
          <w:szCs w:val="28"/>
        </w:rPr>
        <w:t>采用资格后审，综合评分法。</w:t>
      </w:r>
    </w:p>
    <w:p>
      <w:pPr>
        <w:pStyle w:val="2"/>
        <w:spacing w:line="560" w:lineRule="atLeast"/>
        <w:ind w:left="0" w:leftChars="0" w:firstLine="540"/>
        <w:rPr>
          <w:rFonts w:eastAsiaTheme="minorEastAsia"/>
          <w:spacing w:val="-5"/>
          <w:sz w:val="28"/>
          <w:szCs w:val="28"/>
        </w:rPr>
      </w:pPr>
      <w:r>
        <w:rPr>
          <w:rFonts w:hint="eastAsia" w:eastAsiaTheme="minorEastAsia"/>
          <w:spacing w:val="-5"/>
          <w:sz w:val="28"/>
          <w:szCs w:val="28"/>
        </w:rPr>
        <w:t>（二）评审方式</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1.在规定的时间、地点开标。参与招标的</w:t>
      </w:r>
      <w:r>
        <w:rPr>
          <w:rFonts w:hint="eastAsia" w:eastAsiaTheme="minorEastAsia"/>
          <w:spacing w:val="-5"/>
          <w:sz w:val="28"/>
          <w:szCs w:val="28"/>
          <w:lang w:eastAsia="zh-CN"/>
        </w:rPr>
        <w:t>比选申请人</w:t>
      </w:r>
      <w:r>
        <w:rPr>
          <w:rFonts w:hint="eastAsia" w:eastAsiaTheme="minorEastAsia"/>
          <w:spacing w:val="-5"/>
          <w:sz w:val="28"/>
          <w:szCs w:val="28"/>
        </w:rPr>
        <w:t>少于3个（不含3个）将不予开启，原封退还，该招标工作随即结束。</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2.开标由</w:t>
      </w:r>
      <w:r>
        <w:rPr>
          <w:rFonts w:hint="eastAsia" w:eastAsiaTheme="minorEastAsia"/>
          <w:spacing w:val="-5"/>
          <w:sz w:val="28"/>
          <w:szCs w:val="28"/>
          <w:lang w:eastAsia="zh-CN"/>
        </w:rPr>
        <w:t>比选</w:t>
      </w:r>
      <w:r>
        <w:rPr>
          <w:rFonts w:hint="eastAsia" w:eastAsiaTheme="minorEastAsia"/>
          <w:spacing w:val="-5"/>
          <w:sz w:val="28"/>
          <w:szCs w:val="28"/>
        </w:rPr>
        <w:t>人主持，招标人、</w:t>
      </w:r>
      <w:r>
        <w:rPr>
          <w:rFonts w:hint="eastAsia" w:eastAsiaTheme="minorEastAsia"/>
          <w:spacing w:val="-5"/>
          <w:sz w:val="28"/>
          <w:szCs w:val="28"/>
          <w:lang w:eastAsia="zh-CN"/>
        </w:rPr>
        <w:t>比选申请人</w:t>
      </w:r>
      <w:r>
        <w:rPr>
          <w:rFonts w:hint="eastAsia" w:eastAsiaTheme="minorEastAsia"/>
          <w:spacing w:val="-5"/>
          <w:sz w:val="28"/>
          <w:szCs w:val="28"/>
        </w:rPr>
        <w:t>参加。所有</w:t>
      </w:r>
      <w:r>
        <w:rPr>
          <w:rFonts w:hint="eastAsia" w:eastAsiaTheme="minorEastAsia"/>
          <w:spacing w:val="-5"/>
          <w:sz w:val="28"/>
          <w:szCs w:val="28"/>
          <w:lang w:eastAsia="zh-CN"/>
        </w:rPr>
        <w:t>比选申请人</w:t>
      </w:r>
      <w:r>
        <w:rPr>
          <w:rFonts w:hint="eastAsia" w:eastAsiaTheme="minorEastAsia"/>
          <w:spacing w:val="-5"/>
          <w:sz w:val="28"/>
          <w:szCs w:val="28"/>
        </w:rPr>
        <w:t>应派授权代表参加开标会，并按要求签到。</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3.开标时，由</w:t>
      </w:r>
      <w:r>
        <w:rPr>
          <w:rFonts w:hint="eastAsia" w:eastAsiaTheme="minorEastAsia"/>
          <w:spacing w:val="-5"/>
          <w:sz w:val="28"/>
          <w:szCs w:val="28"/>
          <w:lang w:eastAsia="zh-CN"/>
        </w:rPr>
        <w:t>比选</w:t>
      </w:r>
      <w:r>
        <w:rPr>
          <w:rFonts w:hint="eastAsia" w:eastAsiaTheme="minorEastAsia"/>
          <w:spacing w:val="-5"/>
          <w:sz w:val="28"/>
          <w:szCs w:val="28"/>
        </w:rPr>
        <w:t>人及</w:t>
      </w:r>
      <w:r>
        <w:rPr>
          <w:rFonts w:hint="eastAsia" w:eastAsiaTheme="minorEastAsia"/>
          <w:spacing w:val="-5"/>
          <w:sz w:val="28"/>
          <w:szCs w:val="28"/>
          <w:lang w:eastAsia="zh-CN"/>
        </w:rPr>
        <w:t>比选申请人</w:t>
      </w:r>
      <w:r>
        <w:rPr>
          <w:rFonts w:hint="eastAsia" w:eastAsiaTheme="minorEastAsia"/>
          <w:spacing w:val="-5"/>
          <w:sz w:val="28"/>
          <w:szCs w:val="28"/>
        </w:rPr>
        <w:t>代表检查报价文件的密封情况，对符合密封要求的投标文件当场逐一拆封，由</w:t>
      </w:r>
      <w:r>
        <w:rPr>
          <w:rFonts w:hint="eastAsia" w:eastAsiaTheme="minorEastAsia"/>
          <w:spacing w:val="-5"/>
          <w:sz w:val="28"/>
          <w:szCs w:val="28"/>
          <w:lang w:eastAsia="zh-CN"/>
        </w:rPr>
        <w:t>比选申请人</w:t>
      </w:r>
      <w:r>
        <w:rPr>
          <w:rFonts w:hint="eastAsia" w:eastAsiaTheme="minorEastAsia"/>
          <w:spacing w:val="-5"/>
          <w:sz w:val="28"/>
          <w:szCs w:val="28"/>
        </w:rPr>
        <w:t>代表签字确认。</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4.按照</w:t>
      </w:r>
      <w:r>
        <w:rPr>
          <w:rFonts w:hint="eastAsia" w:eastAsiaTheme="minorEastAsia"/>
          <w:spacing w:val="-5"/>
          <w:sz w:val="28"/>
          <w:szCs w:val="28"/>
          <w:lang w:eastAsia="zh-CN"/>
        </w:rPr>
        <w:t>比选</w:t>
      </w:r>
      <w:r>
        <w:rPr>
          <w:rFonts w:hint="eastAsia" w:eastAsiaTheme="minorEastAsia"/>
          <w:spacing w:val="-5"/>
          <w:sz w:val="28"/>
          <w:szCs w:val="28"/>
        </w:rPr>
        <w:t>文件要求进行评审，资格审后审，按评分由高到低排序，推荐１－３名</w:t>
      </w:r>
      <w:r>
        <w:rPr>
          <w:rFonts w:hint="eastAsia" w:eastAsiaTheme="minorEastAsia"/>
          <w:spacing w:val="-5"/>
          <w:sz w:val="28"/>
          <w:szCs w:val="28"/>
          <w:lang w:eastAsia="zh-CN"/>
        </w:rPr>
        <w:t>比选申请人</w:t>
      </w:r>
      <w:r>
        <w:rPr>
          <w:rFonts w:hint="eastAsia" w:eastAsiaTheme="minorEastAsia"/>
          <w:spacing w:val="-5"/>
          <w:sz w:val="28"/>
          <w:szCs w:val="28"/>
        </w:rPr>
        <w:t>为本项目中标候选人；若有评分相同的</w:t>
      </w:r>
      <w:r>
        <w:rPr>
          <w:rFonts w:hint="eastAsia" w:eastAsiaTheme="minorEastAsia"/>
          <w:spacing w:val="-5"/>
          <w:sz w:val="28"/>
          <w:szCs w:val="28"/>
          <w:lang w:eastAsia="zh-CN"/>
        </w:rPr>
        <w:t>比选申请人</w:t>
      </w:r>
      <w:r>
        <w:rPr>
          <w:rFonts w:hint="eastAsia" w:eastAsiaTheme="minorEastAsia"/>
          <w:spacing w:val="-5"/>
          <w:sz w:val="28"/>
          <w:szCs w:val="28"/>
        </w:rPr>
        <w:t>，以报价低的报价人优先。</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七、比选申请文件的组成及内容</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（一）</w:t>
      </w:r>
      <w:r>
        <w:rPr>
          <w:rFonts w:hint="eastAsia" w:eastAsiaTheme="minorEastAsia"/>
          <w:spacing w:val="-5"/>
          <w:sz w:val="28"/>
          <w:szCs w:val="28"/>
          <w:lang w:eastAsia="zh-CN"/>
        </w:rPr>
        <w:t>报价</w:t>
      </w:r>
      <w:r>
        <w:rPr>
          <w:rFonts w:hint="eastAsia" w:eastAsiaTheme="minorEastAsia"/>
          <w:spacing w:val="-5"/>
          <w:sz w:val="28"/>
          <w:szCs w:val="28"/>
        </w:rPr>
        <w:t>函</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（二）</w:t>
      </w:r>
      <w:r>
        <w:rPr>
          <w:rFonts w:hint="eastAsia" w:eastAsiaTheme="minorEastAsia"/>
          <w:spacing w:val="-5"/>
          <w:sz w:val="28"/>
          <w:szCs w:val="28"/>
          <w:lang w:eastAsia="zh-CN"/>
        </w:rPr>
        <w:t>报价</w:t>
      </w:r>
      <w:r>
        <w:rPr>
          <w:rFonts w:hint="eastAsia" w:eastAsiaTheme="minorEastAsia"/>
          <w:spacing w:val="-5"/>
          <w:sz w:val="28"/>
          <w:szCs w:val="28"/>
        </w:rPr>
        <w:t>函附表</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1.授权书</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2.承诺书</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3.供应商法人营业执照复印件或扫描件，并加盖单位章。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4.</w:t>
      </w:r>
      <w:r>
        <w:rPr>
          <w:rFonts w:hint="eastAsia" w:eastAsiaTheme="minorEastAsia"/>
          <w:spacing w:val="-5"/>
          <w:sz w:val="28"/>
          <w:szCs w:val="28"/>
          <w:lang w:eastAsia="zh-CN"/>
        </w:rPr>
        <w:t>比选申请人</w:t>
      </w:r>
      <w:r>
        <w:rPr>
          <w:rFonts w:hint="eastAsia" w:eastAsiaTheme="minorEastAsia"/>
          <w:spacing w:val="-5"/>
          <w:sz w:val="28"/>
          <w:szCs w:val="28"/>
        </w:rPr>
        <w:t>信誉情况加盖单位章。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5.承诺书签字，并加盖单位章。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6.技术建议书加盖单位章。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7.业绩证明。</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8.</w:t>
      </w:r>
      <w:r>
        <w:rPr>
          <w:rFonts w:hint="eastAsia" w:eastAsiaTheme="minorEastAsia"/>
          <w:spacing w:val="-5"/>
          <w:sz w:val="28"/>
          <w:szCs w:val="28"/>
          <w:lang w:eastAsia="zh-CN"/>
        </w:rPr>
        <w:t>比选申请人</w:t>
      </w:r>
      <w:r>
        <w:rPr>
          <w:rFonts w:hint="eastAsia" w:eastAsiaTheme="minorEastAsia"/>
          <w:spacing w:val="-5"/>
          <w:sz w:val="28"/>
          <w:szCs w:val="28"/>
        </w:rPr>
        <w:t>其他资料。</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八、报价文件的印制和签署</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（一）</w:t>
      </w:r>
      <w:r>
        <w:rPr>
          <w:rFonts w:hint="eastAsia" w:eastAsiaTheme="minorEastAsia"/>
          <w:spacing w:val="-5"/>
          <w:sz w:val="28"/>
          <w:szCs w:val="28"/>
          <w:lang w:eastAsia="zh-CN"/>
        </w:rPr>
        <w:t>比选申请</w:t>
      </w:r>
      <w:r>
        <w:rPr>
          <w:rFonts w:hint="eastAsia" w:eastAsiaTheme="minorEastAsia"/>
          <w:spacing w:val="-5"/>
          <w:sz w:val="28"/>
          <w:szCs w:val="28"/>
        </w:rPr>
        <w:t>文件应提交一式贰份，其中正本一份，副本一份（在封面上应分别标明）。报价文件副本应由其已编页码的正本复制（复印）而成，包括证明文件（复制件可用黑白件），正副本内容不一致的，以正本为准。</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（二）</w:t>
      </w:r>
      <w:r>
        <w:rPr>
          <w:rFonts w:hint="eastAsia" w:eastAsiaTheme="minorEastAsia"/>
          <w:spacing w:val="-5"/>
          <w:sz w:val="28"/>
          <w:szCs w:val="28"/>
          <w:lang w:eastAsia="zh-CN"/>
        </w:rPr>
        <w:t>比选申请</w:t>
      </w:r>
      <w:r>
        <w:rPr>
          <w:rFonts w:hint="eastAsia" w:eastAsiaTheme="minorEastAsia"/>
          <w:spacing w:val="-5"/>
          <w:sz w:val="28"/>
          <w:szCs w:val="28"/>
        </w:rPr>
        <w:t>文件应使用不褪色、不变质的墨水打印或书写，并在规定签章处逐一签章。</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（三）</w:t>
      </w:r>
      <w:r>
        <w:rPr>
          <w:rFonts w:hint="eastAsia" w:eastAsiaTheme="minorEastAsia"/>
          <w:spacing w:val="-5"/>
          <w:sz w:val="28"/>
          <w:szCs w:val="28"/>
          <w:lang w:eastAsia="zh-CN"/>
        </w:rPr>
        <w:t>比选申请</w:t>
      </w:r>
      <w:r>
        <w:rPr>
          <w:rFonts w:hint="eastAsia" w:eastAsiaTheme="minorEastAsia"/>
          <w:spacing w:val="-5"/>
          <w:sz w:val="28"/>
          <w:szCs w:val="28"/>
        </w:rPr>
        <w:t>文件根据招标文件格式的要求制作，内容应完整，</w:t>
      </w:r>
      <w:r>
        <w:rPr>
          <w:rFonts w:hint="eastAsia" w:eastAsiaTheme="minorEastAsia"/>
          <w:spacing w:val="-5"/>
          <w:sz w:val="28"/>
          <w:szCs w:val="28"/>
          <w:lang w:eastAsia="zh-CN"/>
        </w:rPr>
        <w:t>比选申请</w:t>
      </w:r>
      <w:r>
        <w:rPr>
          <w:rFonts w:hint="eastAsia" w:eastAsiaTheme="minorEastAsia"/>
          <w:spacing w:val="-5"/>
          <w:sz w:val="28"/>
          <w:szCs w:val="28"/>
        </w:rPr>
        <w:t>文件的打印和书写应清楚工整，</w:t>
      </w:r>
      <w:r>
        <w:rPr>
          <w:rFonts w:hint="eastAsia" w:eastAsiaTheme="minorEastAsia"/>
          <w:spacing w:val="-5"/>
          <w:sz w:val="28"/>
          <w:szCs w:val="28"/>
          <w:lang w:eastAsia="zh-CN"/>
        </w:rPr>
        <w:t>比选申请</w:t>
      </w:r>
      <w:r>
        <w:rPr>
          <w:rFonts w:hint="eastAsia" w:eastAsiaTheme="minorEastAsia"/>
          <w:spacing w:val="-5"/>
          <w:sz w:val="28"/>
          <w:szCs w:val="28"/>
        </w:rPr>
        <w:t>文件不得行间插字，涂改或者增删。如有修改错漏处，必须由</w:t>
      </w:r>
      <w:r>
        <w:rPr>
          <w:rFonts w:hint="eastAsia" w:eastAsiaTheme="minorEastAsia"/>
          <w:spacing w:val="-5"/>
          <w:sz w:val="28"/>
          <w:szCs w:val="28"/>
          <w:lang w:eastAsia="zh-CN"/>
        </w:rPr>
        <w:t>比选申请人</w:t>
      </w:r>
      <w:r>
        <w:rPr>
          <w:rFonts w:hint="eastAsia" w:eastAsiaTheme="minorEastAsia"/>
          <w:spacing w:val="-5"/>
          <w:sz w:val="28"/>
          <w:szCs w:val="28"/>
        </w:rPr>
        <w:t>的法定代表人或其授权代理表签字或盖个人印鉴。</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（四）</w:t>
      </w:r>
      <w:r>
        <w:rPr>
          <w:rFonts w:hint="eastAsia" w:eastAsiaTheme="minorEastAsia"/>
          <w:spacing w:val="-5"/>
          <w:sz w:val="28"/>
          <w:szCs w:val="28"/>
          <w:lang w:eastAsia="zh-CN"/>
        </w:rPr>
        <w:t>比选申请</w:t>
      </w:r>
      <w:r>
        <w:rPr>
          <w:rFonts w:hint="eastAsia" w:eastAsiaTheme="minorEastAsia"/>
          <w:spacing w:val="-5"/>
          <w:sz w:val="28"/>
          <w:szCs w:val="28"/>
        </w:rPr>
        <w:t>文件应逐页编码，并装订成册。属于同一部分的内容应装订在一起。否则，招标人将对投标文件页数的丢失、散落或其它后果不承担任何责任。</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（五）</w:t>
      </w:r>
      <w:r>
        <w:rPr>
          <w:rFonts w:hint="eastAsia" w:eastAsiaTheme="minorEastAsia"/>
          <w:spacing w:val="-5"/>
          <w:sz w:val="28"/>
          <w:szCs w:val="28"/>
          <w:lang w:eastAsia="zh-CN"/>
        </w:rPr>
        <w:t>比选申请</w:t>
      </w:r>
      <w:r>
        <w:rPr>
          <w:rFonts w:hint="eastAsia" w:eastAsiaTheme="minorEastAsia"/>
          <w:spacing w:val="-5"/>
          <w:sz w:val="28"/>
          <w:szCs w:val="28"/>
        </w:rPr>
        <w:t>文件统一用A4幅面。</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（六）</w:t>
      </w:r>
      <w:r>
        <w:rPr>
          <w:rFonts w:hint="eastAsia" w:eastAsiaTheme="minorEastAsia"/>
          <w:spacing w:val="-5"/>
          <w:sz w:val="28"/>
          <w:szCs w:val="28"/>
          <w:lang w:eastAsia="zh-CN"/>
        </w:rPr>
        <w:t>比选申请</w:t>
      </w:r>
      <w:r>
        <w:rPr>
          <w:rFonts w:hint="eastAsia" w:eastAsiaTheme="minorEastAsia"/>
          <w:spacing w:val="-5"/>
          <w:sz w:val="28"/>
          <w:szCs w:val="28"/>
        </w:rPr>
        <w:t>文件的密封和标记，封套应密封完好。</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（七）报价比例不得超过100％，否则</w:t>
      </w:r>
      <w:r>
        <w:rPr>
          <w:rFonts w:hint="eastAsia" w:eastAsiaTheme="minorEastAsia"/>
          <w:spacing w:val="-5"/>
          <w:sz w:val="28"/>
          <w:szCs w:val="28"/>
          <w:lang w:eastAsia="zh-CN"/>
        </w:rPr>
        <w:t>比选申请</w:t>
      </w:r>
      <w:r>
        <w:rPr>
          <w:rFonts w:hint="eastAsia" w:eastAsiaTheme="minorEastAsia"/>
          <w:spacing w:val="-5"/>
          <w:sz w:val="28"/>
          <w:szCs w:val="28"/>
        </w:rPr>
        <w:t>文件无效。</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九、合同的签订</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中标公告公示期满后，招标人召开定标会议，发中标通知书，招标人和</w:t>
      </w:r>
      <w:r>
        <w:rPr>
          <w:rFonts w:hint="eastAsia" w:eastAsiaTheme="minorEastAsia"/>
          <w:spacing w:val="-5"/>
          <w:sz w:val="28"/>
          <w:szCs w:val="28"/>
          <w:lang w:eastAsia="zh-CN"/>
        </w:rPr>
        <w:t>比选申请人</w:t>
      </w:r>
      <w:r>
        <w:rPr>
          <w:rFonts w:hint="eastAsia" w:eastAsiaTheme="minorEastAsia"/>
          <w:spacing w:val="-5"/>
          <w:sz w:val="28"/>
          <w:szCs w:val="28"/>
        </w:rPr>
        <w:t>进行合同谈判，在30个工作日内，双方签订合同，自合同签订之日起为期１年。合同执行期内，招标人在安全、质量、响应时间等方面对中标人进行考核，考核合格后方可续签合同。</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十、联系方式</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招标人：四川秦巴高速公路有限责任公司</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地址：巴中市巴州区S2成巴高速附近四川秦巴高速公路有限责任公司</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联系人：龚先生</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电话：15328945366</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十一、监督及投诉</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监督机构接受申请人的书面异议和投诉。对异议和投诉材料经核查虚假者的一方或诬告的一方将上报其主管部门，以列入不良信誉记录。</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监督机构：四川秦巴高速公路有限责任公司纪检工作部</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电  话：0827-5285832</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地  址：巴中市巴州区S2成巴高速附近四川秦巴高速公路有限责任公司</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邮  编：636000</w:t>
      </w:r>
    </w:p>
    <w:p>
      <w:pPr>
        <w:tabs>
          <w:tab w:val="center" w:pos="4153"/>
        </w:tabs>
        <w:spacing w:line="560" w:lineRule="atLeast"/>
        <w:ind w:firstLine="3510" w:firstLineChars="1300"/>
        <w:rPr>
          <w:rFonts w:eastAsiaTheme="minorEastAsia"/>
          <w:spacing w:val="-5"/>
          <w:sz w:val="28"/>
          <w:szCs w:val="28"/>
        </w:rPr>
      </w:pPr>
      <w:r>
        <w:rPr>
          <w:rFonts w:hint="eastAsia" w:eastAsiaTheme="minorEastAsia"/>
          <w:spacing w:val="-5"/>
          <w:sz w:val="28"/>
          <w:szCs w:val="28"/>
          <w:lang w:eastAsia="zh-CN"/>
        </w:rPr>
        <w:t>比选</w:t>
      </w:r>
      <w:r>
        <w:rPr>
          <w:rFonts w:hint="eastAsia" w:eastAsiaTheme="minorEastAsia"/>
          <w:spacing w:val="-5"/>
          <w:sz w:val="28"/>
          <w:szCs w:val="28"/>
        </w:rPr>
        <w:t>人：四川秦巴高速公路有限责任公司</w:t>
      </w:r>
    </w:p>
    <w:p>
      <w:pPr>
        <w:tabs>
          <w:tab w:val="center" w:pos="4153"/>
        </w:tabs>
        <w:spacing w:line="560" w:lineRule="atLeast"/>
        <w:ind w:firstLine="5130" w:firstLineChars="1900"/>
        <w:rPr>
          <w:rFonts w:hint="eastAsia" w:eastAsiaTheme="minorEastAsia"/>
          <w:spacing w:val="-5"/>
          <w:sz w:val="28"/>
          <w:szCs w:val="28"/>
        </w:rPr>
      </w:pPr>
      <w:r>
        <w:rPr>
          <w:rFonts w:hint="eastAsia" w:eastAsiaTheme="minorEastAsia"/>
          <w:spacing w:val="-5"/>
          <w:sz w:val="28"/>
          <w:szCs w:val="28"/>
          <w:lang w:val="en-US" w:eastAsia="zh-CN"/>
        </w:rPr>
        <w:t>2023</w:t>
      </w:r>
      <w:r>
        <w:rPr>
          <w:rFonts w:hint="eastAsia" w:eastAsiaTheme="minorEastAsia"/>
          <w:spacing w:val="-5"/>
          <w:sz w:val="28"/>
          <w:szCs w:val="28"/>
        </w:rPr>
        <w:t>年</w:t>
      </w:r>
      <w:r>
        <w:rPr>
          <w:rFonts w:hint="eastAsia" w:eastAsiaTheme="minorEastAsia"/>
          <w:spacing w:val="-5"/>
          <w:sz w:val="28"/>
          <w:szCs w:val="28"/>
          <w:lang w:val="en-US" w:eastAsia="zh-CN"/>
        </w:rPr>
        <w:t>10</w:t>
      </w:r>
      <w:r>
        <w:rPr>
          <w:rFonts w:hint="eastAsia" w:eastAsiaTheme="minorEastAsia"/>
          <w:spacing w:val="-5"/>
          <w:sz w:val="28"/>
          <w:szCs w:val="28"/>
        </w:rPr>
        <w:t>月</w:t>
      </w:r>
      <w:r>
        <w:rPr>
          <w:rFonts w:hint="eastAsia" w:eastAsiaTheme="minorEastAsia"/>
          <w:spacing w:val="-5"/>
          <w:sz w:val="28"/>
          <w:szCs w:val="28"/>
          <w:lang w:val="en-US" w:eastAsia="zh-CN"/>
        </w:rPr>
        <w:t>23</w:t>
      </w:r>
      <w:bookmarkStart w:id="9" w:name="_GoBack"/>
      <w:bookmarkEnd w:id="9"/>
      <w:r>
        <w:rPr>
          <w:rFonts w:hint="eastAsia" w:eastAsiaTheme="minorEastAsia"/>
          <w:spacing w:val="-5"/>
          <w:sz w:val="28"/>
          <w:szCs w:val="28"/>
        </w:rPr>
        <w:t>日</w:t>
      </w:r>
    </w:p>
    <w:p>
      <w:pPr>
        <w:rPr>
          <w:rFonts w:hint="eastAsia" w:eastAsiaTheme="minorEastAsia"/>
          <w:spacing w:val="-5"/>
          <w:sz w:val="28"/>
          <w:szCs w:val="28"/>
        </w:rPr>
      </w:pPr>
      <w:r>
        <w:rPr>
          <w:rFonts w:hint="eastAsia" w:eastAsiaTheme="minorEastAsia"/>
          <w:spacing w:val="-5"/>
          <w:sz w:val="28"/>
          <w:szCs w:val="28"/>
        </w:rPr>
        <w:br w:type="page"/>
      </w:r>
    </w:p>
    <w:p>
      <w:pPr>
        <w:pStyle w:val="2"/>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5" w:name="_Toc14003"/>
      <w:r>
        <w:rPr>
          <w:rFonts w:hint="eastAsia" w:asciiTheme="majorEastAsia" w:hAnsiTheme="majorEastAsia" w:eastAsiaTheme="majorEastAsia" w:cstheme="majorEastAsia"/>
          <w:b/>
          <w:bCs w:val="0"/>
          <w:color w:val="000000"/>
          <w:kern w:val="44"/>
          <w:sz w:val="36"/>
          <w:szCs w:val="36"/>
        </w:rPr>
        <w:t>比选申请人须知</w:t>
      </w:r>
      <w:bookmarkEnd w:id="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350"/>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4153"/>
              </w:tabs>
              <w:spacing w:line="56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条款号</w:t>
            </w:r>
          </w:p>
        </w:tc>
        <w:tc>
          <w:tcPr>
            <w:tcW w:w="1350" w:type="dxa"/>
            <w:vAlign w:val="center"/>
          </w:tcPr>
          <w:p>
            <w:pPr>
              <w:tabs>
                <w:tab w:val="center" w:pos="4153"/>
              </w:tabs>
              <w:spacing w:line="56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条款名称</w:t>
            </w:r>
          </w:p>
        </w:tc>
        <w:tc>
          <w:tcPr>
            <w:tcW w:w="7111" w:type="dxa"/>
            <w:vAlign w:val="center"/>
          </w:tcPr>
          <w:p>
            <w:pPr>
              <w:tabs>
                <w:tab w:val="center" w:pos="4153"/>
              </w:tabs>
              <w:spacing w:line="560" w:lineRule="atLeast"/>
              <w:ind w:firstLine="480" w:firstLineChars="2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w:t>
            </w:r>
          </w:p>
        </w:tc>
        <w:tc>
          <w:tcPr>
            <w:tcW w:w="7111"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比选人名称：四川秦巴高速公路有限责任公司</w:t>
            </w:r>
          </w:p>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比选人地址：巴中市巴州区S2成巴高速附近四川秦巴高速公路有限责任公司210会议室</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电话：（0827）5282036</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联系人：龚先生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秦巴公司巴南段、广巴段、巴陕段场外电力线路及设施设备日常维护项目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项目地点</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项目规模</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资金来源</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秦巴公司通行费收入，预算列支渠道为机电维护费及外场电力维护费专项资金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资金落实情况</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比选范围</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服务期限</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2023年11月至2026年11月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比选申请人信誉</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在“信用中国”网站（www.creditchina.gov.cn）中未被列入失信被执行人名单。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联合体</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分包</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构成比选文件的其他资料</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比选文件补遗书（若有）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比选申请人要求澄清比选文件</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递交比选申请文件截止之日3天前，可以书面形式要求澄清比选文件，且无需提供比选申请人信息。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比选文件澄清发出的形式</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比选人将以补遗书形式对比选文件进行澄清，补遗书公布在四川秦巴高速公路有限责任公司网站</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HYPERLINK "http://www.cngs3w.cn/"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（https://qbgs.scgs.com.cn/</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上，由比选申请人自行下载。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比选申请人确认收到比选文件澄清</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有比选申请人从比选文件中指定网站上自行查阅与下载，不要求比选申请人向比选人发出确认函。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比选文件修改发出的形式</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同本须知2.5款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2.8</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比选申请人确认收到比选文件修改</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同本须知2.5款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2.9</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比选申请文件密封形式</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比选申请文件的组成</w:t>
            </w:r>
          </w:p>
        </w:tc>
        <w:tc>
          <w:tcPr>
            <w:tcW w:w="711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（1）投标函</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（2）投标函附表</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1.授权书</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2.承诺书</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3.供应商法人营业执照复印件或扫描件，并加盖单位章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4.比选申请人信誉情况加盖单位章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5.承诺书签字，并加盖单位章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6.技术建议书加盖单位章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7.业绩证明</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8.比选申请人其他资料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增值税税金的计算方式</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按国家规定的一般计税方法计算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报价方式</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比例：本项目采用最高限价的百分比进行报价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最高投标限价</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招标巴南段最高限价为人民币¥34.9万元/年(大写：叁拾肆万玖仟元整/年),广巴段最高限价为人民币¥43.71万元/年(大写：肆拾叁万柒仟壹佰元整/年),巴陕段最高限价为人民币¥65万元/年(大写：陆拾伍万元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比选文件有效期</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自递交比选申请文件截止日起60天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是否允许递交备选报价方案</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比选申请文件要求</w:t>
            </w:r>
          </w:p>
        </w:tc>
        <w:tc>
          <w:tcPr>
            <w:tcW w:w="711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报价文件应提交一式贰份，其中正本一份，副本一份（在封面上应分别标明）。报价文件副本应由其已编页码的正本复制（复印）而成，包括证明文件（复制件可用黑白件），正副本内容不一致的，以正本为准。</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（二）投标文件应使用不褪色、不变质的墨水打印或书写，并在规定签章处逐一签章。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投标文件根据招标文件格式的要求制作，内容应完整，投标文件的打印和书写应清楚工整，投标文件不得行间插字，涂改或者增删。如有修改错漏处，必须由比选申请人的法定代表人或其授权代理表签字或盖个人印鉴。</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（四）投标文件应逐页编码，并装订成册。属于同一部分的内容应装订在一起。否则，招标人将对投标文件页数的丢失、散落或其它后果不承担任何责任。</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（五）投标文件统一用A4幅面。</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（六）投标文件的密封和标记，封套应密封完好。</w:t>
            </w:r>
          </w:p>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（七）报价比例不得超过100％，否则投标文件无效。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开标时间、地点</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详见比选公告，比选申请人应派代表出席并签认开标结果。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是否退换申请文件</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在规定的时间、地点开标。参与招标的比选申请人少于3个（不含3个）将不予开启，原封退还，该招标工作随即结束。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评审委员会的组建</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本项目评标工作小组根据《川高系统中介机构选聘管理办法（试行）的通知》（川高路函〔2021〕858号）第十七条相关规定组建评审工作小组，评审工作小组人数为3人及以上单数组成。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评标办法</w:t>
            </w:r>
          </w:p>
        </w:tc>
        <w:tc>
          <w:tcPr>
            <w:tcW w:w="7111" w:type="dxa"/>
            <w:vAlign w:val="center"/>
          </w:tcPr>
          <w:p>
            <w:pPr>
              <w:pStyle w:val="2"/>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本次招标采用资格后审，综合评分法。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合同价格</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（1）本项目合同价格为比选申请文件报价，且经评审工作组确认的价格。</w:t>
            </w:r>
          </w:p>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（2）本项目合同价为费用总额报价，包括但不限于项目相关税费、人员工资、食宿费用、车辆费用、通行费等比选申请人为完成本项目所发生一切有关费用。</w:t>
            </w:r>
          </w:p>
          <w:p>
            <w:pPr>
              <w:pStyle w:val="33"/>
              <w:numPr>
                <w:ilvl w:val="0"/>
                <w:numId w:val="0"/>
              </w:numPr>
              <w:tabs>
                <w:tab w:val="left" w:pos="142"/>
                <w:tab w:val="left" w:pos="838"/>
              </w:tabs>
              <w:spacing w:line="480" w:lineRule="exact"/>
              <w:ind w:right="-16" w:rightChars="-5"/>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（3）采购的易损易耗材料单价未超过人民币   元的，其材料、人工、安装等费用均包含在日常维护费中，不单独报价。材料单价超过    元的，按两种情形结算：</w:t>
            </w:r>
          </w:p>
          <w:p>
            <w:pPr>
              <w:pStyle w:val="6"/>
              <w:numPr>
                <w:ilvl w:val="0"/>
                <w:numId w:val="0"/>
              </w:numPr>
              <w:tabs>
                <w:tab w:val="left" w:pos="142"/>
              </w:tabs>
              <w:spacing w:line="480" w:lineRule="exact"/>
              <w:ind w:right="-16" w:rightChars="-5"/>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①对于未列入甲方材料采购清单限价表的，乙方采购清单及单价经甲方审核后实施，材料费用据实支付。</w:t>
            </w:r>
          </w:p>
          <w:p>
            <w:pPr>
              <w:pStyle w:val="2"/>
              <w:widowControl w:val="0"/>
              <w:numPr>
                <w:ilvl w:val="0"/>
                <w:numId w:val="0"/>
              </w:numPr>
              <w:spacing w:after="120"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②列入甲方材料采购清单限价表的，材料结算单价=甲方材料单价限价×</w:t>
            </w:r>
            <w:r>
              <w:rPr>
                <w:rFonts w:hint="eastAsia" w:ascii="仿宋_GB2312" w:hAnsi="仿宋_GB2312" w:eastAsia="仿宋_GB2312" w:cs="仿宋_GB2312"/>
                <w:kern w:val="2"/>
                <w:sz w:val="24"/>
                <w:szCs w:val="24"/>
                <w:lang w:val="en-US" w:eastAsia="zh-Hans" w:bidi="ar-SA"/>
              </w:rPr>
              <w:t>报价比例</w:t>
            </w:r>
            <w:r>
              <w:rPr>
                <w:rFonts w:hint="eastAsia" w:ascii="仿宋_GB2312" w:hAnsi="仿宋_GB2312" w:eastAsia="仿宋_GB2312" w:cs="仿宋_GB2312"/>
                <w:kern w:val="2"/>
                <w:sz w:val="24"/>
                <w:szCs w:val="24"/>
                <w:lang w:val="en-US" w:eastAsia="zh-CN" w:bidi="ar-SA"/>
              </w:rPr>
              <w:t>，按甲方确认数量据实计量。更换设施设备及配件的人工、安装等费用由乙方承担且包含在相关子目费用中，不单独报价。</w:t>
            </w:r>
          </w:p>
          <w:p>
            <w:pPr>
              <w:pStyle w:val="2"/>
              <w:widowControl w:val="0"/>
              <w:numPr>
                <w:ilvl w:val="0"/>
                <w:numId w:val="0"/>
              </w:numPr>
              <w:spacing w:after="120"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（4）本合同价格为包干总价格，在合同履行期间不予调整。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签订合同</w:t>
            </w:r>
          </w:p>
        </w:tc>
        <w:tc>
          <w:tcPr>
            <w:tcW w:w="7111" w:type="dxa"/>
            <w:vAlign w:val="center"/>
          </w:tcPr>
          <w:p>
            <w:pPr>
              <w:pStyle w:val="2"/>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中标人在收到中标通知书后30天内，比选人与中标人签订相关合同。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支付方式</w:t>
            </w:r>
          </w:p>
        </w:tc>
        <w:tc>
          <w:tcPr>
            <w:tcW w:w="7111" w:type="dxa"/>
            <w:vAlign w:val="center"/>
          </w:tcPr>
          <w:p>
            <w:pPr>
              <w:pStyle w:val="2"/>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在完成签订合同并开具普通增值税发票后，每6个月支付一次维保费用</w:t>
            </w:r>
          </w:p>
        </w:tc>
      </w:tr>
    </w:tbl>
    <w:p>
      <w:r>
        <w:br w:type="page"/>
      </w: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lang w:eastAsia="zh-CN"/>
        </w:rPr>
      </w:pPr>
      <w:bookmarkStart w:id="6" w:name="_Toc14274"/>
      <w:r>
        <w:rPr>
          <w:rFonts w:hint="eastAsia" w:asciiTheme="majorEastAsia" w:hAnsiTheme="majorEastAsia" w:eastAsiaTheme="majorEastAsia" w:cstheme="majorEastAsia"/>
          <w:b/>
          <w:bCs w:val="0"/>
          <w:color w:val="000000"/>
          <w:kern w:val="44"/>
          <w:sz w:val="36"/>
          <w:szCs w:val="36"/>
          <w:lang w:eastAsia="zh-CN"/>
        </w:rPr>
        <w:t>评标方法</w:t>
      </w:r>
      <w:bookmarkEnd w:id="6"/>
    </w:p>
    <w:p>
      <w:pPr>
        <w:spacing w:before="120" w:beforeLines="50" w:after="120" w:afterLines="50" w:line="560" w:lineRule="exact"/>
        <w:jc w:val="center"/>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一、评审办法前附表</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用于进一步明确正文中的未尽事宜，由比选人根据本项目具体特点和实际需要编制和填写，与比选文件其他章节相衔接，并与本章正文内容不想抵触。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62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条款号</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条款名称</w:t>
            </w:r>
          </w:p>
        </w:tc>
        <w:tc>
          <w:tcPr>
            <w:tcW w:w="654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评审方法</w:t>
            </w:r>
          </w:p>
        </w:tc>
        <w:tc>
          <w:tcPr>
            <w:tcW w:w="654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本次招标采用资格后审，综合评分法，即对满足比选文件实质要求的比选申请文件，按照经评审的评分由高到低排序，推荐１－３名中标候选人；若有评分相同的比选申请人，以报价低的报价人优先。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2.1.1</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形式评审标准</w:t>
            </w:r>
          </w:p>
        </w:tc>
        <w:tc>
          <w:tcPr>
            <w:tcW w:w="654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（1）比选申请文件应使用不褪色、不变质的墨水打印或书写，并在规定签章处逐一签章。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比选申请文件根据招标文件格式的要求制作，内容应完整，比选申请文件的打印和书写应清楚工整，比选申请文件不得行间插字，涂改或者增删。如有修改错漏处，必须由比选申请人的法定代表人或其授权代理表签字或盖个人印鉴。</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（3）比选申请文件应逐页编码，并装订成册。属于同一部分的内容应装订在一起。否则，招标人将对投标文件页数的丢失、散落或其它后果不承担任何责任。</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（4）比选申请文件统一用A4幅面。</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（5）比选申请文件的密封和标记，封套应密封完好。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2.1.2</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资格评审标准</w:t>
            </w:r>
          </w:p>
        </w:tc>
        <w:tc>
          <w:tcPr>
            <w:tcW w:w="654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（1）本次比选要求比选申请人资格要求：</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①具有独立法人资格，在中华人民共和国境内依法登记注册并有效存续的，具有独立法人资格的企业或事业单位。</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②具备电力工程施工总承包三级及以上资质、且具备电力相关行政主管部门颁发的《承装（修、试）电力设施许可证》，且许可类别和等级为“四级承装类及以上”、“四级承修类及以上”和“四级承试类及以上”资质；具备质量、环境、职业健康管理体系认证证书并在有效期内。</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③提供近3年（2020年1月1日起）新承接或在建或已完成电力工程合同业绩1个，合同金额100万元以上（提供合同、验收报告复印件加盖公章）；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④在“信用中国”网站（www.creditchina.gov.cn）中未被列入失信被执行人名单。</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⑤申请人（单位）或法定代表人、项目负责人、技术负责人近三年（2020年1月1日起至今）有行贿犯罪档案记录的，不得参加询比申请。（人员均需提供近6个月及以上连续不断的社保证明）</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⑥同一比选申请人只能选择一个标段投标。</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（2）本项目不允许分包。</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比选申请人单位负责人为同一人或者存在控股、管理关系的不同单位，不得参加同一标段投标。否则，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（4）报价人对招标人商业信息及技术资料保密。</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（5）比选申请人在现场开展服务时，必须遵守比选人的相关安全规章制度，不得违规操作。</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维护人员应具备高低压设备维护要求的资质证书，具有高压电工作业证书；维护人员应具有良好的职业道德，较高的技能水平和综台素质，熟悉代维高压设备的基本结构和技术知识。（人员均需提供近6个月及以上连续不断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2.1.3</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响应性评审标准</w:t>
            </w:r>
          </w:p>
        </w:tc>
        <w:tc>
          <w:tcPr>
            <w:tcW w:w="6541" w:type="dxa"/>
            <w:vAlign w:val="center"/>
          </w:tcPr>
          <w:p>
            <w:pPr>
              <w:numPr>
                <w:ilvl w:val="0"/>
                <w:numId w:val="2"/>
              </w:num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比选申请文件载明的比选项目合同期限未超过比选文件规定的时限；</w:t>
            </w:r>
          </w:p>
          <w:p>
            <w:pPr>
              <w:pStyle w:val="2"/>
              <w:numPr>
                <w:ilvl w:val="0"/>
                <w:numId w:val="2"/>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报价比例不得超过100％，否则比选申请文件无效。</w:t>
            </w:r>
          </w:p>
          <w:p>
            <w:pPr>
              <w:pStyle w:val="2"/>
              <w:numPr>
                <w:ilvl w:val="0"/>
                <w:numId w:val="2"/>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应提交一式贰份，其中正本一份，副本一份（在封面上应分别标明）。报价文件副本应由其已编页码的正本复制（复印）而成，包括证明文件（复制件可用黑白件），正副本内容不一致的，以正本为准。</w:t>
            </w:r>
          </w:p>
          <w:p>
            <w:pPr>
              <w:pStyle w:val="2"/>
              <w:numPr>
                <w:ilvl w:val="0"/>
                <w:numId w:val="2"/>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比选申请文件对比选文件的实质性要求和条件作出响应。</w:t>
            </w:r>
          </w:p>
          <w:p>
            <w:pPr>
              <w:pStyle w:val="2"/>
              <w:numPr>
                <w:ilvl w:val="0"/>
                <w:numId w:val="2"/>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报价函及报价说明不应附有比选人不能接受的条件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2.2.2</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评标价计算方法</w:t>
            </w:r>
          </w:p>
        </w:tc>
        <w:tc>
          <w:tcPr>
            <w:tcW w:w="6541" w:type="dxa"/>
            <w:vAlign w:val="center"/>
          </w:tcPr>
          <w:p>
            <w:pPr>
              <w:pStyle w:val="2"/>
              <w:numPr>
                <w:ilvl w:val="0"/>
                <w:numId w:val="0"/>
              </w:numPr>
              <w:ind w:lef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（1）综合评分=技术建议书得分+项目管理机构得分+报价函报价得分+其他因素得分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3.9.1</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推荐中标候选人</w:t>
            </w:r>
          </w:p>
        </w:tc>
        <w:tc>
          <w:tcPr>
            <w:tcW w:w="6541" w:type="dxa"/>
            <w:vAlign w:val="center"/>
          </w:tcPr>
          <w:p>
            <w:pPr>
              <w:pStyle w:val="2"/>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（1）评审委员会对通过评审的所有比选申请人，按照经评审的评分由高到低排序，推荐１－３名中标候选人；若有评分相同的比选申请人，以报价低的报价人优先。</w:t>
            </w:r>
          </w:p>
          <w:p>
            <w:pPr>
              <w:pStyle w:val="2"/>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（2）当出现上述情况以外的情形，则按有利于比选人的原则进行推荐。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3.6.5</w:t>
            </w:r>
          </w:p>
        </w:tc>
        <w:tc>
          <w:tcPr>
            <w:tcW w:w="162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澄清和说明</w:t>
            </w:r>
          </w:p>
        </w:tc>
        <w:tc>
          <w:tcPr>
            <w:tcW w:w="6541" w:type="dxa"/>
            <w:vAlign w:val="center"/>
          </w:tcPr>
          <w:p>
            <w:pPr>
              <w:pStyle w:val="2"/>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（1）比选申请人收到问题澄清通知后必须在规定时间内以书面（含传真）形式给予答复，必须申请人的澄清比选加盖报价人单位章或由法定代表人或其他委托代理人签字；</w:t>
            </w:r>
          </w:p>
          <w:p>
            <w:pPr>
              <w:pStyle w:val="2"/>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（2）若未影响到中标候选人排序，则可不要求报价人澄清。</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420" w:firstLineChars="200"/>
        <w:jc w:val="both"/>
        <w:textAlignment w:val="auto"/>
        <w:rPr>
          <w:rFonts w:hint="eastAsia" w:cs="Times New Roman"/>
          <w:kern w:val="2"/>
          <w:sz w:val="21"/>
          <w:szCs w:val="20"/>
          <w:lang w:val="en-US" w:eastAsia="zh-CN" w:bidi="ar-SA"/>
        </w:rPr>
      </w:pPr>
    </w:p>
    <w:p>
      <w:pPr>
        <w:spacing w:before="120" w:beforeLines="50" w:after="120" w:afterLines="50" w:line="560" w:lineRule="exact"/>
        <w:jc w:val="center"/>
        <w:outlineLvl w:val="9"/>
        <w:rPr>
          <w:rFonts w:hint="eastAsia" w:ascii="仿宋_GB2312" w:hAnsi="宋体" w:eastAsia="仿宋_GB2312" w:cs="Courier New"/>
          <w:b/>
          <w:kern w:val="0"/>
          <w:lang w:eastAsia="zh-CN"/>
        </w:rPr>
      </w:pPr>
    </w:p>
    <w:p>
      <w:pPr>
        <w:spacing w:before="120" w:beforeLines="50" w:after="120" w:afterLines="50" w:line="560" w:lineRule="exact"/>
        <w:jc w:val="center"/>
        <w:outlineLvl w:val="1"/>
        <w:rPr>
          <w:rFonts w:ascii="仿宋_GB2312" w:hAnsi="宋体" w:eastAsia="仿宋_GB2312" w:cs="Courier New"/>
          <w:b/>
          <w:kern w:val="0"/>
        </w:rPr>
      </w:pPr>
      <w:r>
        <w:rPr>
          <w:rFonts w:hint="eastAsia" w:ascii="仿宋_GB2312" w:hAnsi="宋体" w:eastAsia="仿宋_GB2312" w:cs="Courier New"/>
          <w:b/>
          <w:kern w:val="0"/>
          <w:lang w:eastAsia="zh-CN"/>
        </w:rPr>
        <w:t>二、</w:t>
      </w:r>
      <w:r>
        <w:rPr>
          <w:rFonts w:hint="eastAsia" w:ascii="仿宋_GB2312" w:hAnsi="宋体" w:eastAsia="仿宋_GB2312" w:cs="Courier New"/>
          <w:b/>
          <w:kern w:val="0"/>
        </w:rPr>
        <w:t>综合评分表</w:t>
      </w:r>
    </w:p>
    <w:tbl>
      <w:tblPr>
        <w:tblStyle w:val="12"/>
        <w:tblW w:w="95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726"/>
        <w:gridCol w:w="832"/>
        <w:gridCol w:w="787"/>
        <w:gridCol w:w="65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9" w:hRule="atLeast"/>
          <w:jc w:val="center"/>
        </w:trPr>
        <w:tc>
          <w:tcPr>
            <w:tcW w:w="137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分值构成</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(总分100分)</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技术建议书：</w:t>
            </w:r>
            <w:r>
              <w:rPr>
                <w:rFonts w:hint="eastAsia" w:ascii="仿宋_GB2312" w:hAnsi="仿宋_GB2312" w:eastAsia="仿宋_GB2312" w:cs="仿宋_GB2312"/>
                <w:color w:val="00B0F0"/>
                <w:sz w:val="24"/>
                <w:szCs w:val="24"/>
                <w:u w:val="single"/>
              </w:rPr>
              <w:t>10</w:t>
            </w:r>
            <w:r>
              <w:rPr>
                <w:rFonts w:hint="eastAsia" w:ascii="仿宋_GB2312" w:hAnsi="仿宋_GB2312" w:eastAsia="仿宋_GB2312" w:cs="仿宋_GB2312"/>
                <w:sz w:val="24"/>
                <w:szCs w:val="24"/>
              </w:rPr>
              <w:t>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项目管理机构：</w:t>
            </w:r>
            <w:r>
              <w:rPr>
                <w:rFonts w:hint="eastAsia" w:ascii="仿宋_GB2312" w:hAnsi="仿宋_GB2312" w:eastAsia="仿宋_GB2312" w:cs="仿宋_GB2312"/>
                <w:color w:val="00B0F0"/>
                <w:sz w:val="24"/>
                <w:szCs w:val="24"/>
                <w:u w:val="single"/>
              </w:rPr>
              <w:t>15</w:t>
            </w:r>
            <w:r>
              <w:rPr>
                <w:rFonts w:hint="eastAsia" w:ascii="仿宋_GB2312" w:hAnsi="仿宋_GB2312" w:eastAsia="仿宋_GB2312" w:cs="仿宋_GB2312"/>
                <w:sz w:val="24"/>
                <w:szCs w:val="24"/>
              </w:rPr>
              <w:t>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报价函</w:t>
            </w:r>
            <w:r>
              <w:rPr>
                <w:rFonts w:hint="eastAsia" w:ascii="仿宋_GB2312" w:hAnsi="仿宋_GB2312" w:eastAsia="仿宋_GB2312" w:cs="仿宋_GB2312"/>
                <w:sz w:val="24"/>
                <w:szCs w:val="24"/>
              </w:rPr>
              <w:t>报价：</w:t>
            </w:r>
            <w:r>
              <w:rPr>
                <w:rFonts w:hint="eastAsia" w:ascii="仿宋_GB2312" w:hAnsi="仿宋_GB2312" w:eastAsia="仿宋_GB2312" w:cs="仿宋_GB2312"/>
                <w:color w:val="00B0F0"/>
                <w:sz w:val="24"/>
                <w:szCs w:val="24"/>
                <w:u w:val="single"/>
              </w:rPr>
              <w:t>60</w:t>
            </w:r>
            <w:r>
              <w:rPr>
                <w:rFonts w:hint="eastAsia" w:ascii="仿宋_GB2312" w:hAnsi="仿宋_GB2312" w:eastAsia="仿宋_GB2312" w:cs="仿宋_GB2312"/>
                <w:sz w:val="24"/>
                <w:szCs w:val="24"/>
              </w:rPr>
              <w:t>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其他评分因素：</w:t>
            </w:r>
            <w:r>
              <w:rPr>
                <w:rFonts w:hint="eastAsia" w:ascii="仿宋_GB2312" w:hAnsi="仿宋_GB2312" w:eastAsia="仿宋_GB2312" w:cs="仿宋_GB2312"/>
                <w:color w:val="00B0F0"/>
                <w:sz w:val="24"/>
                <w:szCs w:val="24"/>
                <w:u w:val="single"/>
              </w:rPr>
              <w:t>15</w:t>
            </w:r>
            <w:r>
              <w:rPr>
                <w:rFonts w:hint="eastAsia" w:ascii="仿宋_GB2312" w:hAnsi="仿宋_GB2312" w:eastAsia="仿宋_GB2312" w:cs="仿宋_GB2312"/>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137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评分因素</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p>
        </w:tc>
        <w:tc>
          <w:tcPr>
            <w:tcW w:w="7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技术建议书</w:t>
            </w: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内容完整性和编制水平</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提供的内容完整且编制水平突出本项目的特殊性的优得10分，良得8分，一般得6分，差不得分。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3"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w:t>
            </w:r>
          </w:p>
        </w:tc>
        <w:tc>
          <w:tcPr>
            <w:tcW w:w="72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项目管理机构评分标准</w:t>
            </w: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项目经理任职资格</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拟派项目经理具有机电工程专业二级并具有安全生产考核合格证（B）证的得2分，具备机电工程中级职称得3分，本项最高得5分。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技术负责人任职资格</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拟派技术负责人具有机电工程相关专业中级及以上职称得3分。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7"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其他人员任职资格</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管理人员包括：施工员、质量员、材料员、资料员、安全员。其中安全员具备住房和城乡建设领域专业人员岗位培训考核合格证书且具备建筑施工企业专职安全生产管理人员安全生产考核合格证书（C证）得4分；</w:t>
            </w:r>
          </w:p>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维护人员</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具有由四川应急管理厅的高压电工作业证书</w:t>
            </w:r>
            <w:r>
              <w:rPr>
                <w:rFonts w:hint="eastAsia" w:ascii="仿宋_GB2312" w:hAnsi="仿宋_GB2312" w:eastAsia="仿宋_GB2312" w:cs="仿宋_GB2312"/>
                <w:sz w:val="24"/>
                <w:szCs w:val="24"/>
              </w:rPr>
              <w:t>，每证得1分，共3分。</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（以上人员均需提供近6个月及以上连续不断的社保证明、按一人一证原则计分，一人多证时不重复计分）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9"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.3</w:t>
            </w:r>
          </w:p>
        </w:tc>
        <w:tc>
          <w:tcPr>
            <w:tcW w:w="7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其他因素评分标准</w:t>
            </w:r>
          </w:p>
        </w:tc>
        <w:tc>
          <w:tcPr>
            <w:tcW w:w="161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业绩、资质</w:t>
            </w:r>
          </w:p>
        </w:tc>
        <w:tc>
          <w:tcPr>
            <w:tcW w:w="6539"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业绩：满足</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资格要求得3分，每增加1个得3分。本项最高得9分。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资质：具备</w:t>
            </w:r>
            <w:r>
              <w:rPr>
                <w:rFonts w:ascii="仿宋_GB2312" w:hAnsi="仿宋_GB2312" w:eastAsia="仿宋_GB2312" w:cs="仿宋_GB2312"/>
                <w:sz w:val="24"/>
                <w:szCs w:val="24"/>
              </w:rPr>
              <w:t>有电力总承包或输变电二级以上且承装、修、试二级以上</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3</w:t>
            </w:r>
            <w:r>
              <w:rPr>
                <w:rFonts w:ascii="仿宋_GB2312" w:hAnsi="仿宋_GB2312" w:eastAsia="仿宋_GB2312" w:cs="仿宋_GB2312"/>
                <w:sz w:val="24"/>
                <w:szCs w:val="24"/>
              </w:rPr>
              <w:t>分，电力总承包或输变电一级，且承装、修、试一级</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6</w:t>
            </w:r>
            <w:r>
              <w:rPr>
                <w:rFonts w:ascii="仿宋_GB2312" w:hAnsi="仿宋_GB2312" w:eastAsia="仿宋_GB2312" w:cs="仿宋_GB2312"/>
                <w:sz w:val="24"/>
                <w:szCs w:val="24"/>
              </w:rPr>
              <w:t>分。</w:t>
            </w:r>
            <w:r>
              <w:rPr>
                <w:rFonts w:hint="eastAsia" w:ascii="仿宋_GB2312" w:hAnsi="仿宋_GB2312" w:eastAsia="仿宋_GB2312" w:cs="仿宋_GB2312"/>
                <w:sz w:val="24"/>
                <w:szCs w:val="24"/>
              </w:rPr>
              <w:t>本项最高得分6分。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653" w:type="dxa"/>
            <w:vMerge w:val="restart"/>
            <w:tcBorders>
              <w:left w:val="single" w:color="auto" w:sz="2" w:space="0"/>
              <w:right w:val="single" w:color="auto" w:sz="2" w:space="0"/>
            </w:tcBorders>
            <w:vAlign w:val="center"/>
          </w:tcPr>
          <w:p>
            <w:pPr>
              <w:spacing w:line="360" w:lineRule="auto"/>
              <w:rPr>
                <w:rFonts w:ascii="仿宋" w:hAnsi="仿宋" w:eastAsia="仿宋" w:cs="仿宋"/>
                <w:color w:val="FF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w:t>
            </w:r>
          </w:p>
        </w:tc>
        <w:tc>
          <w:tcPr>
            <w:tcW w:w="726" w:type="dxa"/>
            <w:vMerge w:val="restart"/>
            <w:tcBorders>
              <w:left w:val="single" w:color="auto" w:sz="2" w:space="0"/>
              <w:right w:val="single" w:color="auto" w:sz="2" w:space="0"/>
            </w:tcBorders>
            <w:vAlign w:val="center"/>
          </w:tcPr>
          <w:p>
            <w:pPr>
              <w:spacing w:line="360" w:lineRule="auto"/>
              <w:rPr>
                <w:rFonts w:ascii="仿宋" w:hAnsi="仿宋" w:eastAsia="仿宋" w:cs="仿宋"/>
                <w:color w:val="FF0000"/>
                <w:sz w:val="24"/>
                <w:szCs w:val="24"/>
              </w:rPr>
            </w:pPr>
            <w:r>
              <w:rPr>
                <w:rFonts w:hint="eastAsia" w:ascii="仿宋_GB2312" w:hAnsi="仿宋_GB2312" w:eastAsia="仿宋_GB2312" w:cs="仿宋_GB2312"/>
                <w:sz w:val="21"/>
                <w:szCs w:val="21"/>
                <w:lang w:eastAsia="zh-CN"/>
              </w:rPr>
              <w:t>比选申请</w:t>
            </w:r>
            <w:r>
              <w:rPr>
                <w:rFonts w:hint="eastAsia" w:ascii="仿宋_GB2312" w:hAnsi="仿宋_GB2312" w:eastAsia="仿宋_GB2312" w:cs="仿宋_GB2312"/>
                <w:sz w:val="21"/>
                <w:szCs w:val="21"/>
              </w:rPr>
              <w:t>报价评分标准</w:t>
            </w:r>
          </w:p>
        </w:tc>
        <w:tc>
          <w:tcPr>
            <w:tcW w:w="83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仿宋" w:hAnsi="仿宋" w:eastAsia="仿宋" w:cs="仿宋"/>
                <w:color w:val="FF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.4.1</w:t>
            </w:r>
          </w:p>
        </w:tc>
        <w:tc>
          <w:tcPr>
            <w:tcW w:w="787" w:type="dxa"/>
            <w:tcBorders>
              <w:top w:val="single" w:color="auto" w:sz="2" w:space="0"/>
              <w:left w:val="single" w:color="auto" w:sz="2" w:space="0"/>
              <w:bottom w:val="single" w:color="auto" w:sz="2" w:space="0"/>
              <w:right w:val="single" w:color="auto" w:sz="2" w:space="0"/>
            </w:tcBorders>
            <w:vAlign w:val="center"/>
          </w:tcPr>
          <w:p>
            <w:pPr>
              <w:pStyle w:val="6"/>
              <w:spacing w:line="240" w:lineRule="auto"/>
              <w:rPr>
                <w:rFonts w:ascii="仿宋" w:hAnsi="仿宋" w:eastAsia="仿宋" w:cs="仿宋"/>
                <w:color w:val="FF0000"/>
                <w:szCs w:val="24"/>
              </w:rPr>
            </w:pPr>
            <w:r>
              <w:rPr>
                <w:rFonts w:hint="eastAsia" w:ascii="仿宋_GB2312" w:hAnsi="仿宋_GB2312" w:eastAsia="仿宋_GB2312" w:cs="仿宋_GB2312"/>
                <w:szCs w:val="24"/>
                <w:lang w:val="zh-CN" w:bidi="zh-CN"/>
              </w:rPr>
              <w:t>评标基准价计算细则</w:t>
            </w:r>
          </w:p>
        </w:tc>
        <w:tc>
          <w:tcPr>
            <w:tcW w:w="6539" w:type="dxa"/>
            <w:tcBorders>
              <w:top w:val="single" w:color="auto" w:sz="2" w:space="0"/>
              <w:left w:val="single" w:color="auto" w:sz="2" w:space="0"/>
              <w:bottom w:val="single" w:color="auto" w:sz="2" w:space="0"/>
              <w:right w:val="single" w:color="auto" w:sz="2" w:space="0"/>
            </w:tcBorders>
            <w:vAlign w:val="center"/>
          </w:tcPr>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评标基准价的计算（保留两位小数，计算结果均“四舍五入”计）：在开标现场，将当场计算评标基准价并当场宣布。</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（1）评标价的确定：</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评标价＝</w:t>
            </w:r>
            <w:r>
              <w:rPr>
                <w:rFonts w:hint="eastAsia" w:ascii="仿宋_GB2312" w:hAnsi="仿宋_GB2312" w:eastAsia="仿宋_GB2312" w:cs="仿宋_GB2312"/>
                <w:szCs w:val="24"/>
                <w:lang w:eastAsia="zh-CN"/>
              </w:rPr>
              <w:t>报价</w:t>
            </w:r>
            <w:r>
              <w:rPr>
                <w:rFonts w:hint="eastAsia" w:ascii="仿宋_GB2312" w:hAnsi="仿宋_GB2312" w:eastAsia="仿宋_GB2312" w:cs="仿宋_GB2312"/>
                <w:szCs w:val="24"/>
              </w:rPr>
              <w:t>函中</w:t>
            </w:r>
            <w:r>
              <w:rPr>
                <w:rFonts w:hint="eastAsia" w:ascii="仿宋_GB2312" w:hAnsi="仿宋_GB2312" w:eastAsia="仿宋_GB2312" w:cs="仿宋_GB2312"/>
                <w:szCs w:val="24"/>
                <w:lang w:eastAsia="zh-CN"/>
              </w:rPr>
              <w:t>报价</w:t>
            </w:r>
            <w:r>
              <w:rPr>
                <w:rFonts w:hint="eastAsia" w:ascii="仿宋_GB2312" w:hAnsi="仿宋_GB2312" w:eastAsia="仿宋_GB2312" w:cs="仿宋_GB2312"/>
                <w:szCs w:val="24"/>
              </w:rPr>
              <w:t>比例。</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（2）评标价平均值的计算：</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①评标价超过标段最高</w:t>
            </w:r>
            <w:r>
              <w:rPr>
                <w:rFonts w:hint="eastAsia" w:ascii="仿宋_GB2312" w:hAnsi="仿宋_GB2312" w:eastAsia="仿宋_GB2312" w:cs="仿宋_GB2312"/>
                <w:szCs w:val="24"/>
                <w:lang w:eastAsia="zh-CN"/>
              </w:rPr>
              <w:t>比选文件</w:t>
            </w:r>
            <w:r>
              <w:rPr>
                <w:rFonts w:hint="eastAsia" w:ascii="仿宋_GB2312" w:hAnsi="仿宋_GB2312" w:eastAsia="仿宋_GB2312" w:cs="仿宋_GB2312"/>
                <w:szCs w:val="24"/>
              </w:rPr>
              <w:t>限价的，按</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无效处理，不参与评标价平均值计算；</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②低于项目最高</w:t>
            </w:r>
            <w:r>
              <w:rPr>
                <w:rFonts w:hint="eastAsia" w:ascii="仿宋_GB2312" w:hAnsi="仿宋_GB2312" w:eastAsia="仿宋_GB2312" w:cs="仿宋_GB2312"/>
                <w:szCs w:val="24"/>
                <w:lang w:eastAsia="zh-CN"/>
              </w:rPr>
              <w:t>比选文件</w:t>
            </w:r>
            <w:r>
              <w:rPr>
                <w:rFonts w:hint="eastAsia" w:ascii="仿宋_GB2312" w:hAnsi="仿宋_GB2312" w:eastAsia="仿宋_GB2312" w:cs="仿宋_GB2312"/>
                <w:szCs w:val="24"/>
              </w:rPr>
              <w:t>限价的85%的评标价将不参与评标价平均值的计算，但仍应进行</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评分。</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③在投标截止期后撤销的</w:t>
            </w:r>
            <w:r>
              <w:rPr>
                <w:rFonts w:hint="eastAsia" w:ascii="仿宋_GB2312" w:hAnsi="仿宋_GB2312" w:eastAsia="仿宋_GB2312" w:cs="仿宋_GB2312"/>
                <w:szCs w:val="24"/>
                <w:lang w:eastAsia="zh-CN"/>
              </w:rPr>
              <w:t>比选申请</w:t>
            </w:r>
            <w:r>
              <w:rPr>
                <w:rFonts w:hint="eastAsia" w:ascii="仿宋_GB2312" w:hAnsi="仿宋_GB2312" w:eastAsia="仿宋_GB2312" w:cs="仿宋_GB2312"/>
                <w:szCs w:val="24"/>
              </w:rPr>
              <w:t>文件，也应按程序对</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进行评审，若其通过评审，其</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仍应参与评标价平均值计算条件，但其</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不参与评审。</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④当所有</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低于最高</w:t>
            </w:r>
            <w:r>
              <w:rPr>
                <w:rFonts w:hint="eastAsia" w:ascii="仿宋_GB2312" w:hAnsi="仿宋_GB2312" w:eastAsia="仿宋_GB2312" w:cs="仿宋_GB2312"/>
                <w:szCs w:val="24"/>
                <w:lang w:eastAsia="zh-CN"/>
              </w:rPr>
              <w:t>比选文件</w:t>
            </w:r>
            <w:r>
              <w:rPr>
                <w:rFonts w:hint="eastAsia" w:ascii="仿宋_GB2312" w:hAnsi="仿宋_GB2312" w:eastAsia="仿宋_GB2312" w:cs="仿宋_GB2312"/>
                <w:szCs w:val="24"/>
              </w:rPr>
              <w:t>限价的 85%，评标基准价以最高</w:t>
            </w:r>
            <w:r>
              <w:rPr>
                <w:rFonts w:hint="eastAsia" w:ascii="仿宋_GB2312" w:hAnsi="仿宋_GB2312" w:eastAsia="仿宋_GB2312" w:cs="仿宋_GB2312"/>
                <w:szCs w:val="24"/>
                <w:lang w:eastAsia="zh-CN"/>
              </w:rPr>
              <w:t>比选文件</w:t>
            </w:r>
            <w:r>
              <w:rPr>
                <w:rFonts w:hint="eastAsia" w:ascii="仿宋_GB2312" w:hAnsi="仿宋_GB2312" w:eastAsia="仿宋_GB2312" w:cs="仿宋_GB2312"/>
                <w:szCs w:val="24"/>
              </w:rPr>
              <w:t>限价的 85%计算。</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（3）评标基准价的确定</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将所有开启的</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且满足第（2）条要求的评标价进行算术平均，以该算术平均值再下降 2%作为评标基准价，即：评标基准价=评标价的算术平均值-2%。</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（4）若</w:t>
            </w:r>
            <w:r>
              <w:rPr>
                <w:rFonts w:hint="eastAsia" w:ascii="仿宋_GB2312" w:hAnsi="仿宋_GB2312" w:eastAsia="仿宋_GB2312" w:cs="仿宋_GB2312"/>
                <w:szCs w:val="24"/>
                <w:lang w:eastAsia="zh-CN"/>
              </w:rPr>
              <w:t>比选人</w:t>
            </w:r>
            <w:r>
              <w:rPr>
                <w:rFonts w:hint="eastAsia" w:ascii="仿宋_GB2312" w:hAnsi="仿宋_GB2312" w:eastAsia="仿宋_GB2312" w:cs="仿宋_GB2312"/>
                <w:szCs w:val="24"/>
              </w:rPr>
              <w:t>发现</w:t>
            </w:r>
            <w:r>
              <w:rPr>
                <w:rFonts w:hint="eastAsia" w:ascii="仿宋_GB2312" w:hAnsi="仿宋_GB2312" w:eastAsia="仿宋_GB2312" w:cs="仿宋_GB2312"/>
                <w:szCs w:val="24"/>
                <w:lang w:eastAsia="zh-CN"/>
              </w:rPr>
              <w:t>比选申请</w:t>
            </w:r>
            <w:r>
              <w:rPr>
                <w:rFonts w:hint="eastAsia" w:ascii="仿宋_GB2312" w:hAnsi="仿宋_GB2312" w:eastAsia="仿宋_GB2312" w:cs="仿宋_GB2312"/>
                <w:szCs w:val="24"/>
              </w:rPr>
              <w:t>文件出现以下任一情况，其</w:t>
            </w:r>
            <w:r>
              <w:rPr>
                <w:rFonts w:hint="eastAsia" w:ascii="仿宋_GB2312" w:hAnsi="仿宋_GB2312" w:eastAsia="仿宋_GB2312" w:cs="仿宋_GB2312"/>
                <w:szCs w:val="24"/>
                <w:lang w:eastAsia="zh-CN"/>
              </w:rPr>
              <w:t>比选申请文件</w:t>
            </w:r>
            <w:r>
              <w:rPr>
                <w:rFonts w:hint="eastAsia" w:ascii="仿宋_GB2312" w:hAnsi="仿宋_GB2312" w:eastAsia="仿宋_GB2312" w:cs="仿宋_GB2312"/>
                <w:szCs w:val="24"/>
              </w:rPr>
              <w:t>将不再参加评标基准价的计算；</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①未在</w:t>
            </w:r>
            <w:r>
              <w:rPr>
                <w:rFonts w:hint="eastAsia" w:ascii="仿宋_GB2312" w:hAnsi="仿宋_GB2312" w:eastAsia="仿宋_GB2312" w:cs="仿宋_GB2312"/>
                <w:szCs w:val="24"/>
                <w:lang w:eastAsia="zh-CN"/>
              </w:rPr>
              <w:t>报价</w:t>
            </w:r>
            <w:r>
              <w:rPr>
                <w:rFonts w:hint="eastAsia" w:ascii="仿宋_GB2312" w:hAnsi="仿宋_GB2312" w:eastAsia="仿宋_GB2312" w:cs="仿宋_GB2312"/>
                <w:szCs w:val="24"/>
              </w:rPr>
              <w:t>函上填写投标比例；</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②评标价超出询比人公布的最高投标限价；</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③评标价低于标段最高</w:t>
            </w:r>
            <w:r>
              <w:rPr>
                <w:rFonts w:hint="eastAsia" w:ascii="仿宋_GB2312" w:hAnsi="仿宋_GB2312" w:eastAsia="仿宋_GB2312" w:cs="仿宋_GB2312"/>
                <w:szCs w:val="24"/>
                <w:lang w:eastAsia="zh-CN"/>
              </w:rPr>
              <w:t>比选文件</w:t>
            </w:r>
            <w:r>
              <w:rPr>
                <w:rFonts w:hint="eastAsia" w:ascii="仿宋_GB2312" w:hAnsi="仿宋_GB2312" w:eastAsia="仿宋_GB2312" w:cs="仿宋_GB2312"/>
                <w:szCs w:val="24"/>
              </w:rPr>
              <w:t>限价的85%；</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④</w:t>
            </w:r>
            <w:r>
              <w:rPr>
                <w:rFonts w:hint="eastAsia" w:ascii="仿宋_GB2312" w:hAnsi="仿宋_GB2312" w:eastAsia="仿宋_GB2312" w:cs="仿宋_GB2312"/>
                <w:szCs w:val="24"/>
                <w:lang w:eastAsia="zh-CN"/>
              </w:rPr>
              <w:t>报价</w:t>
            </w:r>
            <w:r>
              <w:rPr>
                <w:rFonts w:hint="eastAsia" w:ascii="仿宋_GB2312" w:hAnsi="仿宋_GB2312" w:eastAsia="仿宋_GB2312" w:cs="仿宋_GB2312"/>
                <w:szCs w:val="24"/>
              </w:rPr>
              <w:t>函上填写的项目名称、标段号与所投项目名称、标段号不一致。</w:t>
            </w:r>
          </w:p>
          <w:p>
            <w:pPr>
              <w:pStyle w:val="6"/>
              <w:autoSpaceDE w:val="0"/>
              <w:autoSpaceDN w:val="0"/>
              <w:spacing w:line="288" w:lineRule="auto"/>
              <w:ind w:left="19" w:leftChars="6" w:right="176" w:rightChars="55" w:firstLine="424" w:firstLineChars="177"/>
              <w:rPr>
                <w:rFonts w:ascii="仿宋_GB2312" w:hAnsi="仿宋_GB2312" w:eastAsia="仿宋_GB2312" w:cs="仿宋_GB2312"/>
                <w:szCs w:val="24"/>
              </w:rPr>
            </w:pPr>
            <w:r>
              <w:rPr>
                <w:rFonts w:hint="eastAsia" w:ascii="仿宋_GB2312" w:hAnsi="仿宋_GB2312" w:eastAsia="仿宋_GB2312" w:cs="仿宋_GB2312"/>
                <w:szCs w:val="24"/>
              </w:rPr>
              <w:t>（5）评标基准价确定场合：</w:t>
            </w:r>
          </w:p>
          <w:p>
            <w:pPr>
              <w:spacing w:line="360" w:lineRule="auto"/>
              <w:rPr>
                <w:rFonts w:ascii="仿宋" w:hAnsi="仿宋" w:eastAsia="仿宋" w:cs="仿宋"/>
                <w:color w:val="FF0000"/>
                <w:sz w:val="24"/>
                <w:szCs w:val="24"/>
              </w:rPr>
            </w:pPr>
            <w:r>
              <w:rPr>
                <w:rFonts w:hint="eastAsia" w:ascii="仿宋_GB2312" w:hAnsi="仿宋_GB2312" w:eastAsia="仿宋_GB2312" w:cs="仿宋_GB2312"/>
                <w:sz w:val="24"/>
                <w:szCs w:val="24"/>
              </w:rPr>
              <w:t>评标基准价按以上规则计算后在</w:t>
            </w:r>
            <w:r>
              <w:rPr>
                <w:rFonts w:hint="eastAsia" w:ascii="仿宋_GB2312" w:hAnsi="仿宋_GB2312" w:eastAsia="仿宋_GB2312" w:cs="仿宋_GB2312"/>
                <w:sz w:val="24"/>
                <w:szCs w:val="24"/>
                <w:lang w:eastAsia="zh-CN"/>
              </w:rPr>
              <w:t>比选申请文件</w:t>
            </w:r>
            <w:r>
              <w:rPr>
                <w:rFonts w:hint="eastAsia" w:ascii="仿宋_GB2312" w:hAnsi="仿宋_GB2312" w:eastAsia="仿宋_GB2312" w:cs="仿宋_GB2312"/>
                <w:sz w:val="24"/>
                <w:szCs w:val="24"/>
              </w:rPr>
              <w:t>开标现场公布，如果</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认为评标基准价计算有误，有权在开标现场提出，经监督人当场核实确认后，可重新计算和宣布评标基准价。在评标过程中，评标小组会应对</w:t>
            </w:r>
            <w:r>
              <w:rPr>
                <w:rFonts w:hint="eastAsia" w:ascii="仿宋_GB2312" w:hAnsi="仿宋_GB2312" w:eastAsia="仿宋_GB2312" w:cs="仿宋_GB2312"/>
                <w:sz w:val="24"/>
                <w:szCs w:val="24"/>
                <w:lang w:eastAsia="zh-CN"/>
              </w:rPr>
              <w:t>比选人</w:t>
            </w:r>
            <w:r>
              <w:rPr>
                <w:rFonts w:hint="eastAsia" w:ascii="仿宋_GB2312" w:hAnsi="仿宋_GB2312" w:eastAsia="仿宋_GB2312" w:cs="仿宋_GB2312"/>
                <w:sz w:val="24"/>
                <w:szCs w:val="24"/>
              </w:rPr>
              <w:t>计算的评标基准价进行复核，存在计算错误的应予以修正并在评标报告中作出说明。除此之外，评标基准价在整个评标期间保持不变， 不随任何因素发生变化。也不随通过投标文件评审的</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数量、算术性修正而改变，也不因</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当事人异议、投诉以及其他任何情形而改变。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7" w:hRule="atLeast"/>
          <w:jc w:val="center"/>
        </w:trPr>
        <w:tc>
          <w:tcPr>
            <w:tcW w:w="653" w:type="dxa"/>
            <w:vMerge w:val="continue"/>
            <w:tcBorders>
              <w:left w:val="single" w:color="auto" w:sz="2" w:space="0"/>
              <w:right w:val="single" w:color="auto" w:sz="2" w:space="0"/>
            </w:tcBorders>
            <w:vAlign w:val="center"/>
          </w:tcPr>
          <w:p>
            <w:pPr>
              <w:spacing w:line="360" w:lineRule="auto"/>
              <w:rPr>
                <w:rFonts w:ascii="仿宋" w:hAnsi="仿宋" w:eastAsia="仿宋" w:cs="仿宋"/>
                <w:sz w:val="24"/>
                <w:szCs w:val="24"/>
              </w:rPr>
            </w:pPr>
          </w:p>
        </w:tc>
        <w:tc>
          <w:tcPr>
            <w:tcW w:w="726" w:type="dxa"/>
            <w:vMerge w:val="continue"/>
            <w:tcBorders>
              <w:left w:val="single" w:color="auto" w:sz="2" w:space="0"/>
              <w:right w:val="single" w:color="auto" w:sz="2" w:space="0"/>
            </w:tcBorders>
            <w:vAlign w:val="center"/>
          </w:tcPr>
          <w:p>
            <w:pPr>
              <w:spacing w:line="360" w:lineRule="auto"/>
              <w:rPr>
                <w:rFonts w:ascii="仿宋_GB2312" w:hAnsi="仿宋_GB2312" w:eastAsia="仿宋_GB2312" w:cs="仿宋_GB2312"/>
                <w:sz w:val="21"/>
                <w:szCs w:val="21"/>
              </w:rPr>
            </w:pPr>
          </w:p>
        </w:tc>
        <w:tc>
          <w:tcPr>
            <w:tcW w:w="83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.4.2</w:t>
            </w:r>
          </w:p>
        </w:tc>
        <w:tc>
          <w:tcPr>
            <w:tcW w:w="787" w:type="dxa"/>
            <w:tcBorders>
              <w:top w:val="single" w:color="auto" w:sz="2" w:space="0"/>
              <w:left w:val="single" w:color="auto" w:sz="2" w:space="0"/>
              <w:bottom w:val="single" w:color="auto" w:sz="2" w:space="0"/>
              <w:right w:val="single" w:color="auto" w:sz="2" w:space="0"/>
            </w:tcBorders>
            <w:vAlign w:val="center"/>
          </w:tcPr>
          <w:p>
            <w:pPr>
              <w:pStyle w:val="6"/>
              <w:spacing w:line="240" w:lineRule="auto"/>
              <w:rPr>
                <w:rFonts w:ascii="仿宋_GB2312" w:hAnsi="仿宋_GB2312" w:eastAsia="仿宋_GB2312" w:cs="仿宋_GB2312"/>
                <w:szCs w:val="24"/>
                <w:lang w:val="zh-CN" w:bidi="zh-CN"/>
              </w:rPr>
            </w:pPr>
            <w:r>
              <w:rPr>
                <w:rFonts w:hint="eastAsia" w:ascii="仿宋_GB2312" w:hAnsi="仿宋_GB2312" w:eastAsia="仿宋_GB2312" w:cs="仿宋_GB2312"/>
                <w:szCs w:val="24"/>
              </w:rPr>
              <w:t>评标价的偏差率计算公式</w:t>
            </w:r>
          </w:p>
        </w:tc>
        <w:tc>
          <w:tcPr>
            <w:tcW w:w="6539" w:type="dxa"/>
            <w:tcBorders>
              <w:top w:val="single" w:color="auto" w:sz="2" w:space="0"/>
              <w:left w:val="single" w:color="auto" w:sz="2" w:space="0"/>
              <w:bottom w:val="single" w:color="auto" w:sz="2" w:space="0"/>
              <w:right w:val="single" w:color="auto" w:sz="2" w:space="0"/>
            </w:tcBorders>
            <w:vAlign w:val="center"/>
          </w:tcPr>
          <w:p>
            <w:pPr>
              <w:pStyle w:val="35"/>
              <w:spacing w:before="133" w:line="355" w:lineRule="auto"/>
              <w:ind w:right="103"/>
              <w:jc w:val="both"/>
              <w:rPr>
                <w:rFonts w:ascii="仿宋_GB2312" w:hAnsi="仿宋_GB2312" w:eastAsia="仿宋_GB2312" w:cs="仿宋_GB2312"/>
                <w:b/>
                <w:bCs/>
                <w:sz w:val="24"/>
                <w:szCs w:val="24"/>
              </w:rPr>
            </w:pPr>
            <w:r>
              <w:rPr>
                <w:rFonts w:hint="eastAsia" w:ascii="仿宋_GB2312" w:hAnsi="仿宋_GB2312" w:eastAsia="仿宋_GB2312" w:cs="仿宋_GB2312"/>
                <w:sz w:val="24"/>
                <w:szCs w:val="24"/>
              </w:rPr>
              <w:t>偏差率</w:t>
            </w:r>
            <w:r>
              <w:rPr>
                <w:rFonts w:hint="eastAsia" w:ascii="宋体" w:hAnsi="宋体" w:eastAsia="宋体" w:cs="宋体"/>
                <w:sz w:val="24"/>
                <w:szCs w:val="24"/>
              </w:rPr>
              <w:t>=</w:t>
            </w:r>
            <w:r>
              <w:rPr>
                <w:rFonts w:hint="eastAsia" w:ascii="仿宋_GB2312" w:hAnsi="仿宋_GB2312" w:eastAsia="仿宋_GB2312" w:cs="仿宋_GB2312"/>
                <w:sz w:val="24"/>
                <w:szCs w:val="24"/>
              </w:rPr>
              <w:t>100%×</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评标价-评标基准价）⁄评标基准价</w:t>
            </w:r>
            <w:r>
              <w:rPr>
                <w:rFonts w:hint="eastAsia" w:ascii="仿宋_GB2312" w:hAnsi="仿宋_GB2312" w:eastAsia="仿宋_GB2312" w:cs="仿宋_GB2312"/>
                <w:b/>
                <w:bCs/>
                <w:sz w:val="24"/>
                <w:szCs w:val="24"/>
              </w:rPr>
              <w:t>|</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kern w:val="2"/>
                <w:sz w:val="24"/>
                <w:szCs w:val="24"/>
                <w:lang w:val="zh-CN" w:eastAsia="zh-CN" w:bidi="zh-CN"/>
              </w:rPr>
              <w:t>偏差率保留 3 位小数，在需要时可以增加小数点位数，直至确定排序。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4" w:hRule="atLeast"/>
          <w:jc w:val="center"/>
        </w:trPr>
        <w:tc>
          <w:tcPr>
            <w:tcW w:w="653" w:type="dxa"/>
            <w:vMerge w:val="continue"/>
            <w:tcBorders>
              <w:left w:val="single" w:color="auto" w:sz="2" w:space="0"/>
              <w:right w:val="single" w:color="auto" w:sz="2" w:space="0"/>
            </w:tcBorders>
            <w:vAlign w:val="center"/>
          </w:tcPr>
          <w:p>
            <w:pPr>
              <w:spacing w:line="360" w:lineRule="auto"/>
              <w:rPr>
                <w:rFonts w:ascii="仿宋" w:hAnsi="仿宋" w:eastAsia="仿宋" w:cs="仿宋"/>
                <w:sz w:val="24"/>
                <w:szCs w:val="24"/>
              </w:rPr>
            </w:pPr>
          </w:p>
        </w:tc>
        <w:tc>
          <w:tcPr>
            <w:tcW w:w="726" w:type="dxa"/>
            <w:vMerge w:val="continue"/>
            <w:tcBorders>
              <w:left w:val="single" w:color="auto" w:sz="2" w:space="0"/>
              <w:right w:val="single" w:color="auto" w:sz="2" w:space="0"/>
            </w:tcBorders>
            <w:vAlign w:val="center"/>
          </w:tcPr>
          <w:p>
            <w:pPr>
              <w:spacing w:line="360" w:lineRule="auto"/>
              <w:rPr>
                <w:rFonts w:ascii="仿宋_GB2312" w:hAnsi="仿宋_GB2312" w:eastAsia="仿宋_GB2312" w:cs="仿宋_GB2312"/>
                <w:sz w:val="24"/>
                <w:szCs w:val="24"/>
              </w:rPr>
            </w:pPr>
          </w:p>
        </w:tc>
        <w:tc>
          <w:tcPr>
            <w:tcW w:w="83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.4.3</w:t>
            </w:r>
          </w:p>
        </w:tc>
        <w:tc>
          <w:tcPr>
            <w:tcW w:w="787" w:type="dxa"/>
            <w:tcBorders>
              <w:top w:val="single" w:color="auto" w:sz="2" w:space="0"/>
              <w:left w:val="single" w:color="auto" w:sz="2" w:space="0"/>
              <w:bottom w:val="single" w:color="auto" w:sz="2" w:space="0"/>
              <w:right w:val="single" w:color="auto" w:sz="2" w:space="0"/>
            </w:tcBorders>
            <w:vAlign w:val="center"/>
          </w:tcPr>
          <w:p>
            <w:pPr>
              <w:pStyle w:val="6"/>
              <w:spacing w:line="240" w:lineRule="auto"/>
              <w:rPr>
                <w:rFonts w:ascii="仿宋_GB2312" w:hAnsi="仿宋_GB2312" w:eastAsia="仿宋_GB2312" w:cs="仿宋_GB2312"/>
                <w:szCs w:val="24"/>
                <w:lang w:bidi="zh-CN"/>
              </w:rPr>
            </w:pPr>
            <w:r>
              <w:rPr>
                <w:rFonts w:hint="eastAsia" w:ascii="仿宋_GB2312" w:hAnsi="仿宋_GB2312" w:eastAsia="仿宋_GB2312" w:cs="仿宋_GB2312"/>
                <w:szCs w:val="24"/>
                <w:lang w:bidi="zh-CN"/>
              </w:rPr>
              <w:t>评标价得分</w:t>
            </w:r>
          </w:p>
        </w:tc>
        <w:tc>
          <w:tcPr>
            <w:tcW w:w="6539" w:type="dxa"/>
            <w:tcBorders>
              <w:top w:val="single" w:color="auto" w:sz="2" w:space="0"/>
              <w:left w:val="single" w:color="auto" w:sz="2" w:space="0"/>
              <w:bottom w:val="single" w:color="auto" w:sz="2" w:space="0"/>
              <w:right w:val="single" w:color="auto" w:sz="2" w:space="0"/>
            </w:tcBorders>
            <w:vAlign w:val="center"/>
          </w:tcPr>
          <w:p>
            <w:pPr>
              <w:pStyle w:val="35"/>
              <w:spacing w:line="235" w:lineRule="exact"/>
              <w:ind w:left="100"/>
              <w:jc w:val="left"/>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评标价得分 ：</w:t>
            </w:r>
            <w:r>
              <w:rPr>
                <w:rFonts w:hint="eastAsia" w:ascii="仿宋_GB2312" w:hAnsi="仿宋_GB2312" w:eastAsia="仿宋_GB2312" w:cs="仿宋_GB2312"/>
                <w:sz w:val="24"/>
                <w:szCs w:val="24"/>
                <w:lang w:val="en-US"/>
              </w:rPr>
              <w:t>C</w:t>
            </w:r>
          </w:p>
          <w:p>
            <w:pPr>
              <w:pStyle w:val="35"/>
              <w:spacing w:before="133" w:line="355" w:lineRule="auto"/>
              <w:ind w:left="100" w:right="209"/>
              <w:jc w:val="left"/>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（1）如果</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的评标价＞评标基准价，则评标价得分 C</w:t>
            </w:r>
            <w:r>
              <w:rPr>
                <w:rFonts w:hint="eastAsia" w:ascii="宋体" w:hAnsi="宋体" w:eastAsia="宋体" w:cs="宋体"/>
                <w:sz w:val="24"/>
                <w:szCs w:val="24"/>
              </w:rPr>
              <w:t>=</w:t>
            </w:r>
            <w:r>
              <w:rPr>
                <w:rFonts w:hint="eastAsia" w:ascii="宋体" w:hAnsi="宋体" w:eastAsia="宋体" w:cs="宋体"/>
                <w:sz w:val="24"/>
                <w:szCs w:val="24"/>
                <w:lang w:val="en-US"/>
              </w:rPr>
              <w:t>6</w:t>
            </w:r>
            <w:r>
              <w:rPr>
                <w:rFonts w:hint="eastAsia" w:ascii="仿宋_GB2312" w:hAnsi="仿宋_GB2312" w:eastAsia="仿宋_GB2312" w:cs="仿宋_GB2312"/>
                <w:sz w:val="24"/>
                <w:szCs w:val="24"/>
              </w:rPr>
              <w:t>0－偏差率×100×</w:t>
            </w:r>
            <w:r>
              <w:rPr>
                <w:rFonts w:hint="eastAsia" w:ascii="仿宋_GB2312" w:hAnsi="仿宋_GB2312" w:eastAsia="仿宋_GB2312" w:cs="仿宋_GB2312"/>
                <w:sz w:val="24"/>
                <w:szCs w:val="24"/>
                <w:lang w:val="en-US"/>
              </w:rPr>
              <w:t>1.2</w:t>
            </w:r>
          </w:p>
          <w:p>
            <w:pPr>
              <w:pStyle w:val="35"/>
              <w:spacing w:before="32" w:line="355" w:lineRule="auto"/>
              <w:ind w:left="100" w:right="209"/>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（2）如果</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的评标价≤评标基准价，则评标价得分 C</w:t>
            </w:r>
            <w:r>
              <w:rPr>
                <w:rFonts w:hint="eastAsia" w:ascii="宋体" w:hAnsi="宋体" w:eastAsia="宋体" w:cs="宋体"/>
                <w:sz w:val="24"/>
                <w:szCs w:val="24"/>
              </w:rPr>
              <w:t>=</w:t>
            </w:r>
            <w:r>
              <w:rPr>
                <w:rFonts w:hint="eastAsia" w:ascii="宋体" w:hAnsi="宋体" w:eastAsia="宋体" w:cs="宋体"/>
                <w:sz w:val="24"/>
                <w:szCs w:val="24"/>
                <w:lang w:val="en-US"/>
              </w:rPr>
              <w:t>6</w:t>
            </w:r>
            <w:r>
              <w:rPr>
                <w:rFonts w:hint="eastAsia" w:ascii="仿宋_GB2312" w:hAnsi="仿宋_GB2312" w:eastAsia="仿宋_GB2312" w:cs="仿宋_GB2312"/>
                <w:sz w:val="24"/>
                <w:szCs w:val="24"/>
              </w:rPr>
              <w:t>0－偏差率×100×1</w:t>
            </w:r>
          </w:p>
          <w:p>
            <w:pPr>
              <w:spacing w:line="360" w:lineRule="auto"/>
              <w:rPr>
                <w:rFonts w:ascii="仿宋_GB2312" w:hAnsi="仿宋_GB2312" w:eastAsia="仿宋_GB2312" w:cs="仿宋_GB2312"/>
                <w:b/>
                <w:bCs/>
                <w:sz w:val="24"/>
                <w:szCs w:val="24"/>
                <w:lang w:val="zh-CN" w:bidi="zh-CN"/>
              </w:rPr>
            </w:pPr>
            <w:r>
              <w:rPr>
                <w:rFonts w:hint="eastAsia" w:ascii="仿宋_GB2312" w:hAnsi="仿宋_GB2312" w:eastAsia="仿宋_GB2312" w:cs="仿宋_GB2312"/>
                <w:spacing w:val="-6"/>
                <w:sz w:val="24"/>
                <w:szCs w:val="24"/>
              </w:rPr>
              <w:t xml:space="preserve">评标价得分计算“四舍五入”至少保留小数点后 </w:t>
            </w:r>
            <w:r>
              <w:rPr>
                <w:rFonts w:hint="eastAsia" w:ascii="仿宋_GB2312" w:hAnsi="仿宋_GB2312" w:eastAsia="仿宋_GB2312" w:cs="仿宋_GB2312"/>
                <w:sz w:val="24"/>
                <w:szCs w:val="24"/>
              </w:rPr>
              <w:t>3</w:t>
            </w:r>
            <w:r>
              <w:rPr>
                <w:rFonts w:hint="eastAsia" w:ascii="仿宋_GB2312" w:hAnsi="仿宋_GB2312" w:eastAsia="仿宋_GB2312" w:cs="仿宋_GB2312"/>
                <w:spacing w:val="-7"/>
                <w:sz w:val="24"/>
                <w:szCs w:val="24"/>
              </w:rPr>
              <w:t xml:space="preserve"> 位，直至能确定</w:t>
            </w:r>
            <w:r>
              <w:rPr>
                <w:rFonts w:hint="eastAsia" w:ascii="仿宋_GB2312" w:hAnsi="仿宋_GB2312" w:eastAsia="仿宋_GB2312" w:cs="仿宋_GB2312"/>
                <w:spacing w:val="-6"/>
                <w:sz w:val="24"/>
                <w:szCs w:val="24"/>
              </w:rPr>
              <w:t>评标价得分排序为止。</w:t>
            </w:r>
          </w:p>
        </w:tc>
      </w:tr>
    </w:tbl>
    <w:p>
      <w:pPr>
        <w:numPr>
          <w:ilvl w:val="0"/>
          <w:numId w:val="0"/>
        </w:numPr>
        <w:spacing w:line="360" w:lineRule="auto"/>
        <w:jc w:val="both"/>
        <w:rPr>
          <w:rFonts w:hint="eastAsia" w:ascii="仿宋_GB2312" w:hAnsi="宋体" w:eastAsia="仿宋_GB2312" w:cs="Courier New"/>
          <w:b/>
          <w:kern w:val="0"/>
          <w:lang w:eastAsia="zh-CN"/>
        </w:rPr>
      </w:pPr>
    </w:p>
    <w:p>
      <w:pPr>
        <w:numPr>
          <w:ilvl w:val="0"/>
          <w:numId w:val="3"/>
        </w:numPr>
        <w:spacing w:line="360" w:lineRule="auto"/>
        <w:jc w:val="center"/>
        <w:rPr>
          <w:rFonts w:hint="eastAsia" w:ascii="仿宋_GB2312" w:hAnsi="宋体" w:eastAsia="仿宋_GB2312" w:cs="Courier New"/>
          <w:b/>
          <w:kern w:val="0"/>
          <w:lang w:eastAsia="zh-CN"/>
        </w:rPr>
      </w:pPr>
      <w:r>
        <w:rPr>
          <w:rFonts w:hint="eastAsia" w:ascii="仿宋_GB2312" w:hAnsi="宋体" w:eastAsia="仿宋_GB2312" w:cs="Courier New"/>
          <w:b/>
          <w:kern w:val="0"/>
          <w:lang w:eastAsia="zh-CN"/>
        </w:rPr>
        <w:t>评审办法</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1.评审方法</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本次招标采用资格后审，综合评分法，即对满足比选文件实质要求的比选申请文件，按照经评审的评分由高到低排序，推荐１－３名中标候选人；若有评分相同的比选申请人，以报价低的报价人优先。</w:t>
      </w:r>
    </w:p>
    <w:p>
      <w:pPr>
        <w:numPr>
          <w:ilvl w:val="0"/>
          <w:numId w:val="0"/>
        </w:num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2.评审标准</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2.1初步评审标准</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2.1.1形式评审标准：见评审办法前附表。</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2.1.2资格评审标准：见评审办法前附表。</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2.1.3响应性评审标准：见评审办法前附表。</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3.评审程序</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3.1资格审查</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3.1.1评审委员会依据本章第2.1款规定的标准对比选申请文件进行初步评审。有一项不合符评审标准的，评审委员会应否决其报价。</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3.2报价文件相关信息的核查</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评审委员会应对评审过程中发现比选申请人存在串通报价、弄虚作假、行贿等违法行为的，评审委员会应否决其报价。</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3.3比选申请文件的澄清和说明</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3.3.1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报价。</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3.3.2澄清和说明不得超出比选申请文件的范围或改变比选申请文件的实质性内容（算术性错误的修正除外）。比选申请人的书面澄清、说明属于比选申请文件的组成部分。</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3.3.3评标委员会不得暗示或诱导比选申请人作出澄清、说明，对比选申请人提交的澄清、说明有疑问的，可以要求比选申请人进一步澄清或说明，直至满足评审委员会的要求。</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3.3.4凡超出比选文件规定的或给比选人带来未曾要求的利益的变化、偏差或其他因素在评审时不予考虑。</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3.4评审结果</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3.4.1审核委员会按照评分由高到低排序，推荐１－３名中标候选人；若有评分相同的比选申请人，以报价低的报价人优先。具体详见评标办法前附表</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3.4.2评审委员会完成评审后，应向比选人提交书面评审报告。</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br w:type="page"/>
      </w:r>
    </w:p>
    <w:p>
      <w:pPr>
        <w:pStyle w:val="2"/>
        <w:ind w:left="0" w:leftChars="0" w:firstLine="0" w:firstLineChars="0"/>
        <w:rPr>
          <w:rFonts w:hint="default" w:ascii="仿宋" w:hAnsi="仿宋" w:eastAsia="仿宋" w:cs="仿宋"/>
          <w:kern w:val="2"/>
          <w:sz w:val="24"/>
          <w:szCs w:val="24"/>
          <w:lang w:val="en-US" w:eastAsia="zh-CN" w:bidi="ar-SA"/>
        </w:r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7" w:name="_Toc27469"/>
      <w:r>
        <w:rPr>
          <w:rFonts w:hint="eastAsia" w:asciiTheme="majorEastAsia" w:hAnsiTheme="majorEastAsia" w:eastAsiaTheme="majorEastAsia" w:cstheme="majorEastAsia"/>
          <w:b/>
          <w:bCs w:val="0"/>
          <w:color w:val="000000"/>
          <w:kern w:val="44"/>
          <w:sz w:val="36"/>
          <w:szCs w:val="36"/>
          <w:lang w:val="en-US" w:eastAsia="zh-CN"/>
        </w:rPr>
        <w:t>合同条款及格式</w:t>
      </w:r>
      <w:bookmarkEnd w:id="7"/>
    </w:p>
    <w:p>
      <w:pPr>
        <w:widowControl/>
        <w:autoSpaceDE w:val="0"/>
        <w:autoSpaceDN w:val="0"/>
        <w:spacing w:line="480" w:lineRule="exact"/>
        <w:jc w:val="both"/>
        <w:textAlignment w:val="bottom"/>
        <w:rPr>
          <w:rFonts w:eastAsia="黑体"/>
          <w:sz w:val="120"/>
        </w:rPr>
      </w:pPr>
    </w:p>
    <w:p>
      <w:pPr>
        <w:widowControl/>
        <w:autoSpaceDE w:val="0"/>
        <w:autoSpaceDN w:val="0"/>
        <w:spacing w:line="720" w:lineRule="atLeast"/>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 同 文 件</w:t>
      </w:r>
    </w:p>
    <w:p>
      <w:pPr>
        <w:widowControl/>
        <w:autoSpaceDE w:val="0"/>
        <w:autoSpaceDN w:val="0"/>
        <w:spacing w:line="360" w:lineRule="atLeast"/>
        <w:textAlignment w:val="bottom"/>
        <w:rPr>
          <w:rFonts w:eastAsia="黑体"/>
          <w:spacing w:val="30"/>
          <w:sz w:val="28"/>
        </w:rPr>
      </w:pPr>
    </w:p>
    <w:p>
      <w:pPr>
        <w:widowControl/>
        <w:autoSpaceDE w:val="0"/>
        <w:autoSpaceDN w:val="0"/>
        <w:spacing w:line="360" w:lineRule="atLeast"/>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pStyle w:val="2"/>
        <w:rPr>
          <w:rFonts w:eastAsia="黑体"/>
          <w:spacing w:val="30"/>
        </w:rPr>
      </w:pPr>
    </w:p>
    <w:p>
      <w:pPr>
        <w:pStyle w:val="2"/>
        <w:rPr>
          <w:rFonts w:eastAsia="黑体"/>
          <w:spacing w:val="30"/>
        </w:rPr>
      </w:pPr>
    </w:p>
    <w:p>
      <w:pPr>
        <w:pStyle w:val="2"/>
        <w:rPr>
          <w:rFonts w:eastAsia="黑体"/>
          <w:spacing w:val="30"/>
        </w:rPr>
      </w:pPr>
    </w:p>
    <w:p>
      <w:pPr>
        <w:pStyle w:val="2"/>
        <w:rPr>
          <w:rFonts w:eastAsia="黑体"/>
          <w:spacing w:val="30"/>
        </w:rPr>
      </w:pPr>
    </w:p>
    <w:p>
      <w:pPr>
        <w:keepNext w:val="0"/>
        <w:keepLines w:val="0"/>
        <w:pageBreakBefore w:val="0"/>
        <w:widowControl/>
        <w:kinsoku/>
        <w:wordWrap/>
        <w:overflowPunct/>
        <w:topLinePunct w:val="0"/>
        <w:autoSpaceDE w:val="0"/>
        <w:autoSpaceDN w:val="0"/>
        <w:bidi w:val="0"/>
        <w:adjustRightInd/>
        <w:snapToGrid/>
        <w:spacing w:line="840" w:lineRule="auto"/>
        <w:jc w:val="left"/>
        <w:textAlignment w:val="bottom"/>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项目名称</w:t>
      </w:r>
      <w:r>
        <w:rPr>
          <w:rFonts w:hint="eastAsia" w:ascii="方正小标宋简体" w:hAnsi="方正小标宋简体" w:eastAsia="方正小标宋简体" w:cs="方正小标宋简体"/>
          <w:sz w:val="28"/>
          <w:szCs w:val="28"/>
        </w:rPr>
        <w:t>：</w:t>
      </w:r>
    </w:p>
    <w:p>
      <w:pPr>
        <w:keepNext w:val="0"/>
        <w:keepLines w:val="0"/>
        <w:pageBreakBefore w:val="0"/>
        <w:widowControl/>
        <w:kinsoku/>
        <w:wordWrap/>
        <w:overflowPunct/>
        <w:topLinePunct w:val="0"/>
        <w:autoSpaceDE w:val="0"/>
        <w:autoSpaceDN w:val="0"/>
        <w:bidi w:val="0"/>
        <w:adjustRightInd/>
        <w:snapToGrid/>
        <w:spacing w:line="840" w:lineRule="auto"/>
        <w:ind w:left="0" w:leftChars="0" w:firstLine="0" w:firstLineChars="0"/>
        <w:jc w:val="left"/>
        <w:textAlignment w:val="bottom"/>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甲方（发包人）</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lang w:eastAsia="zh-CN"/>
        </w:rPr>
        <w:t>四川秦巴高速公路有限责任公司</w:t>
      </w:r>
    </w:p>
    <w:p>
      <w:pPr>
        <w:pStyle w:val="2"/>
        <w:keepNext w:val="0"/>
        <w:keepLines w:val="0"/>
        <w:pageBreakBefore w:val="0"/>
        <w:kinsoku/>
        <w:wordWrap/>
        <w:overflowPunct/>
        <w:topLinePunct w:val="0"/>
        <w:bidi w:val="0"/>
        <w:adjustRightInd/>
        <w:snapToGrid/>
        <w:spacing w:line="840" w:lineRule="auto"/>
        <w:ind w:left="344" w:leftChars="0" w:hanging="344" w:hangingChars="123"/>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乙方（承包人）：</w:t>
      </w:r>
    </w:p>
    <w:p>
      <w:pPr>
        <w:pStyle w:val="2"/>
        <w:keepNext w:val="0"/>
        <w:keepLines w:val="0"/>
        <w:pageBreakBefore w:val="0"/>
        <w:kinsoku/>
        <w:wordWrap/>
        <w:overflowPunct/>
        <w:topLinePunct w:val="0"/>
        <w:bidi w:val="0"/>
        <w:adjustRightInd/>
        <w:snapToGrid/>
        <w:spacing w:line="840" w:lineRule="auto"/>
        <w:ind w:left="344" w:leftChars="0" w:hanging="344" w:hangingChars="123"/>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签订地点：四川省巴中市</w:t>
      </w:r>
    </w:p>
    <w:p>
      <w:pPr>
        <w:pStyle w:val="2"/>
        <w:keepNext w:val="0"/>
        <w:keepLines w:val="0"/>
        <w:pageBreakBefore w:val="0"/>
        <w:kinsoku/>
        <w:wordWrap/>
        <w:overflowPunct/>
        <w:topLinePunct w:val="0"/>
        <w:bidi w:val="0"/>
        <w:adjustRightInd/>
        <w:snapToGrid/>
        <w:spacing w:line="840" w:lineRule="auto"/>
        <w:ind w:left="344" w:leftChars="0" w:hanging="344" w:hangingChars="123"/>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签订时间：2023年  月</w:t>
      </w:r>
    </w:p>
    <w:p>
      <w:pPr>
        <w:pStyle w:val="2"/>
        <w:ind w:left="0" w:leftChars="0" w:firstLine="524" w:firstLineChars="228"/>
        <w:rPr>
          <w:rFonts w:hint="eastAsia" w:ascii="Times New Roman" w:hAnsi="Times New Roman" w:cs="Times New Roman" w:eastAsiaTheme="minorEastAsia"/>
          <w:spacing w:val="-5"/>
          <w:kern w:val="2"/>
          <w:sz w:val="24"/>
          <w:szCs w:val="24"/>
          <w:lang w:val="en-US" w:eastAsia="zh-CN" w:bidi="ar-SA"/>
        </w:rPr>
      </w:pPr>
      <w:r>
        <w:rPr>
          <w:rFonts w:hint="eastAsia" w:ascii="Times New Roman" w:hAnsi="Times New Roman" w:cs="Times New Roman" w:eastAsiaTheme="minorEastAsia"/>
          <w:spacing w:val="-5"/>
          <w:kern w:val="2"/>
          <w:sz w:val="24"/>
          <w:szCs w:val="24"/>
          <w:lang w:val="en-US" w:eastAsia="zh-CN" w:bidi="ar-SA"/>
        </w:rPr>
        <w:t>合同双方就（项目名称），经协商一致，签订本合同。</w:t>
      </w:r>
    </w:p>
    <w:p>
      <w:pPr>
        <w:spacing w:line="480" w:lineRule="exact"/>
        <w:ind w:firstLine="554" w:firstLineChars="219"/>
        <w:rPr>
          <w:rFonts w:ascii="宋体" w:hAnsi="宋体" w:eastAsia="宋体" w:cs="宋体"/>
          <w:b/>
          <w:bCs/>
          <w:spacing w:val="6"/>
          <w:sz w:val="24"/>
        </w:rPr>
      </w:pPr>
      <w:r>
        <w:rPr>
          <w:rFonts w:hint="eastAsia" w:ascii="宋体" w:hAnsi="宋体" w:eastAsia="宋体" w:cs="宋体"/>
          <w:b/>
          <w:bCs/>
          <w:spacing w:val="6"/>
          <w:sz w:val="24"/>
        </w:rPr>
        <w:t>一</w:t>
      </w:r>
      <w:r>
        <w:rPr>
          <w:rFonts w:hint="eastAsia" w:ascii="宋体" w:hAnsi="宋体" w:eastAsia="宋体" w:cs="宋体"/>
          <w:spacing w:val="-55"/>
          <w:sz w:val="24"/>
        </w:rPr>
        <w:t xml:space="preserve"> </w:t>
      </w:r>
      <w:r>
        <w:rPr>
          <w:rFonts w:hint="eastAsia" w:ascii="宋体" w:hAnsi="宋体" w:eastAsia="宋体" w:cs="宋体"/>
          <w:b/>
          <w:bCs/>
          <w:spacing w:val="6"/>
          <w:sz w:val="24"/>
        </w:rPr>
        <w:t>、维保项目内容</w:t>
      </w:r>
    </w:p>
    <w:p>
      <w:pPr>
        <w:numPr>
          <w:ilvl w:val="0"/>
          <w:numId w:val="4"/>
        </w:numPr>
        <w:spacing w:line="480" w:lineRule="exact"/>
        <w:rPr>
          <w:rFonts w:ascii="宋体" w:hAnsi="宋体" w:eastAsia="宋体" w:cs="宋体"/>
          <w:spacing w:val="17"/>
          <w:sz w:val="24"/>
        </w:rPr>
      </w:pPr>
      <w:r>
        <w:rPr>
          <w:rFonts w:hint="eastAsia" w:ascii="宋体" w:hAnsi="宋体" w:eastAsia="宋体" w:cs="宋体"/>
          <w:spacing w:val="17"/>
          <w:sz w:val="24"/>
        </w:rPr>
        <w:t>做好线路砍青、断电等地方协调工作；</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按照相关法规要求配备专业人员巡检变电站（所），并按规定对变电站（所）设备进行维护，保障设备的正常运行、操作。</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按相关规定对所有场外供电线路、用电点及沿线电力设施设备进行巡查和工作状态检测，对影响电力使用安全的情况及时进行调整和维护（包括电杆基础夯实、清理线路抛挂物、电力线路周边树木的修剪、加涂防锈漆、调整拉线、电杆及横担等），并在每月形成完整的巡查报告。</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定期对变电站、变电所及线路两端高压设施设备进行检修。</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在沿线任一用电点出现故障时，立即到现场进行检查、维修至正常供电。</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负责电力线路、配件及相关设施设备的调整、更换和安装。</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除以“时间为周期”的日常维修外，还应根据“设备状态”和“天气状态”按照相关规定对供电线路进行专项巡视和检测、以及相应的隐患排查工作。</w:t>
      </w:r>
    </w:p>
    <w:p>
      <w:pPr>
        <w:numPr>
          <w:ilvl w:val="0"/>
          <w:numId w:val="4"/>
        </w:numPr>
        <w:tabs>
          <w:tab w:val="center" w:pos="4153"/>
        </w:tabs>
        <w:spacing w:line="560" w:lineRule="atLeast"/>
        <w:rPr>
          <w:rFonts w:ascii="宋体" w:hAnsi="宋体" w:eastAsia="宋体" w:cs="宋体"/>
          <w:spacing w:val="-5"/>
          <w:sz w:val="24"/>
        </w:rPr>
      </w:pPr>
      <w:r>
        <w:rPr>
          <w:rFonts w:hint="eastAsia" w:ascii="宋体" w:hAnsi="宋体" w:eastAsia="宋体" w:cs="宋体"/>
          <w:spacing w:val="-5"/>
          <w:sz w:val="24"/>
        </w:rPr>
        <w:t>完善配置必要的防护栅栏和各种安全标示、警示牌，以保证用电线路的安全和不危及他人生命健康。</w:t>
      </w:r>
    </w:p>
    <w:p>
      <w:pPr>
        <w:numPr>
          <w:ilvl w:val="0"/>
          <w:numId w:val="4"/>
        </w:numPr>
        <w:tabs>
          <w:tab w:val="center" w:pos="4153"/>
        </w:tabs>
        <w:spacing w:line="560" w:lineRule="atLeast"/>
        <w:rPr>
          <w:rFonts w:ascii="宋体" w:hAnsi="宋体" w:eastAsia="宋体" w:cs="宋体"/>
          <w:spacing w:val="17"/>
          <w:sz w:val="24"/>
        </w:rPr>
      </w:pPr>
      <w:r>
        <w:rPr>
          <w:rFonts w:hint="eastAsia" w:ascii="宋体" w:hAnsi="宋体" w:eastAsia="宋体" w:cs="宋体"/>
          <w:spacing w:val="-5"/>
          <w:sz w:val="24"/>
        </w:rPr>
        <w:t>负责资质范围内设备的技术监督和年度预试、定检工作且出具定检报告（含变压器预防性试验检测）。</w:t>
      </w:r>
    </w:p>
    <w:p>
      <w:pPr>
        <w:numPr>
          <w:ilvl w:val="0"/>
          <w:numId w:val="4"/>
        </w:numPr>
        <w:tabs>
          <w:tab w:val="center" w:pos="4153"/>
        </w:tabs>
        <w:spacing w:line="560" w:lineRule="atLeast"/>
        <w:rPr>
          <w:rFonts w:hint="eastAsia" w:ascii="宋体" w:hAnsi="宋体" w:eastAsia="宋体" w:cs="宋体"/>
          <w:spacing w:val="-5"/>
          <w:sz w:val="24"/>
        </w:rPr>
      </w:pPr>
      <w:r>
        <w:rPr>
          <w:rFonts w:hint="eastAsia" w:ascii="宋体" w:hAnsi="宋体" w:eastAsia="宋体" w:cs="宋体"/>
          <w:spacing w:val="-5"/>
          <w:sz w:val="24"/>
        </w:rPr>
        <w:t>负责与地、县的联系与协调工作；负责各项技术、资料的记录与管理。</w:t>
      </w:r>
    </w:p>
    <w:p>
      <w:pPr>
        <w:numPr>
          <w:ilvl w:val="0"/>
          <w:numId w:val="4"/>
        </w:numPr>
        <w:tabs>
          <w:tab w:val="center" w:pos="4153"/>
        </w:tabs>
        <w:spacing w:line="560" w:lineRule="atLeast"/>
        <w:rPr>
          <w:rFonts w:hint="eastAsia" w:ascii="宋体" w:hAnsi="宋体" w:eastAsia="宋体" w:cs="宋体"/>
          <w:spacing w:val="-5"/>
          <w:sz w:val="24"/>
        </w:rPr>
      </w:pPr>
      <w:r>
        <w:rPr>
          <w:rFonts w:hint="eastAsia" w:ascii="宋体" w:hAnsi="宋体" w:eastAsia="宋体" w:cs="宋体"/>
          <w:spacing w:val="-5"/>
          <w:sz w:val="24"/>
        </w:rPr>
        <w:t>其他未尽维护项目详见附件。</w:t>
      </w:r>
    </w:p>
    <w:p>
      <w:pPr>
        <w:numPr>
          <w:ilvl w:val="0"/>
          <w:numId w:val="5"/>
        </w:numPr>
        <w:spacing w:line="480" w:lineRule="exact"/>
        <w:ind w:firstLine="545" w:firstLineChars="219"/>
        <w:rPr>
          <w:rFonts w:ascii="宋体" w:hAnsi="宋体" w:eastAsia="宋体" w:cs="宋体"/>
          <w:b/>
          <w:bCs/>
          <w:spacing w:val="4"/>
          <w:sz w:val="24"/>
        </w:rPr>
      </w:pPr>
      <w:r>
        <w:rPr>
          <w:rFonts w:hint="eastAsia" w:ascii="宋体" w:hAnsi="宋体" w:eastAsia="宋体" w:cs="宋体"/>
          <w:b/>
          <w:bCs/>
          <w:spacing w:val="4"/>
          <w:sz w:val="24"/>
        </w:rPr>
        <w:t>甲乙双方的权利和义务</w:t>
      </w:r>
    </w:p>
    <w:p>
      <w:pPr>
        <w:numPr>
          <w:ilvl w:val="0"/>
          <w:numId w:val="6"/>
        </w:numPr>
        <w:spacing w:line="480" w:lineRule="exact"/>
        <w:rPr>
          <w:rFonts w:ascii="宋体" w:hAnsi="宋体" w:eastAsia="宋体" w:cs="宋体"/>
          <w:spacing w:val="4"/>
          <w:sz w:val="24"/>
        </w:rPr>
      </w:pPr>
      <w:r>
        <w:rPr>
          <w:rFonts w:hint="eastAsia" w:ascii="宋体" w:hAnsi="宋体" w:eastAsia="宋体" w:cs="宋体"/>
          <w:spacing w:val="14"/>
          <w:sz w:val="24"/>
        </w:rPr>
        <w:t>乙方应按甲方供配电维保的服务内容及</w:t>
      </w:r>
      <w:r>
        <w:rPr>
          <w:rFonts w:hint="eastAsia" w:ascii="宋体" w:hAnsi="宋体" w:eastAsia="宋体" w:cs="宋体"/>
          <w:spacing w:val="13"/>
          <w:sz w:val="24"/>
        </w:rPr>
        <w:t>要求对电力系统及</w:t>
      </w:r>
      <w:r>
        <w:rPr>
          <w:rFonts w:hint="eastAsia" w:ascii="宋体" w:hAnsi="宋体" w:eastAsia="宋体" w:cs="宋体"/>
          <w:spacing w:val="7"/>
          <w:sz w:val="24"/>
        </w:rPr>
        <w:t>其设施进行巡检及维护保养，甲方做好乙方实施维保项目的工作检查、</w:t>
      </w:r>
      <w:r>
        <w:rPr>
          <w:rFonts w:hint="eastAsia" w:ascii="宋体" w:hAnsi="宋体" w:eastAsia="宋体" w:cs="宋体"/>
          <w:spacing w:val="4"/>
          <w:sz w:val="24"/>
        </w:rPr>
        <w:t>督促、考核等工作。</w:t>
      </w:r>
    </w:p>
    <w:p>
      <w:pPr>
        <w:numPr>
          <w:ilvl w:val="0"/>
          <w:numId w:val="6"/>
        </w:numPr>
        <w:spacing w:line="480" w:lineRule="exact"/>
        <w:rPr>
          <w:rFonts w:ascii="宋体" w:hAnsi="宋体" w:eastAsia="宋体" w:cs="宋体"/>
          <w:spacing w:val="4"/>
          <w:sz w:val="24"/>
        </w:rPr>
      </w:pPr>
      <w:r>
        <w:rPr>
          <w:rFonts w:hint="eastAsia" w:ascii="宋体" w:hAnsi="宋体" w:eastAsia="宋体" w:cs="宋体"/>
          <w:spacing w:val="7"/>
          <w:sz w:val="24"/>
        </w:rPr>
        <w:t>乙方实施维保项目和抢修时，甲方人员要做好现场的核实、</w:t>
      </w:r>
      <w:r>
        <w:rPr>
          <w:rFonts w:hint="eastAsia" w:ascii="宋体" w:hAnsi="宋体" w:eastAsia="宋体" w:cs="宋体"/>
          <w:spacing w:val="1"/>
          <w:sz w:val="24"/>
        </w:rPr>
        <w:t>督促工作，乙方做好巡查和维保、抢修相关记录，一式两份，由甲乙</w:t>
      </w:r>
      <w:r>
        <w:rPr>
          <w:rFonts w:hint="eastAsia" w:ascii="宋体" w:hAnsi="宋体" w:eastAsia="宋体" w:cs="宋体"/>
          <w:spacing w:val="3"/>
          <w:sz w:val="24"/>
        </w:rPr>
        <w:t>双方现场主管签字后各留一份。</w:t>
      </w:r>
    </w:p>
    <w:p>
      <w:pPr>
        <w:numPr>
          <w:ilvl w:val="0"/>
          <w:numId w:val="6"/>
        </w:numPr>
        <w:spacing w:after="156" w:afterLines="50" w:line="480" w:lineRule="exact"/>
        <w:rPr>
          <w:rFonts w:ascii="宋体" w:hAnsi="宋体" w:eastAsia="宋体" w:cs="宋体"/>
          <w:spacing w:val="7"/>
          <w:sz w:val="24"/>
        </w:rPr>
      </w:pPr>
      <w:r>
        <w:rPr>
          <w:rFonts w:hint="eastAsia" w:ascii="宋体" w:hAnsi="宋体" w:eastAsia="宋体" w:cs="宋体"/>
          <w:spacing w:val="7"/>
          <w:sz w:val="24"/>
        </w:rPr>
        <w:t>供配电设施或线路发生故障需抢修时，甲方要及时向乙方报修，乙方应在2小时内处置完毕，如故障较大，2小时内无法完成乙方必须报告管理处分管领导和公司营运管理部门负责人，以便统筹安排处置。</w:t>
      </w:r>
    </w:p>
    <w:p>
      <w:pPr>
        <w:pStyle w:val="2"/>
        <w:spacing w:after="156" w:afterLines="50" w:line="240" w:lineRule="auto"/>
        <w:ind w:left="0" w:leftChars="0" w:firstLine="508"/>
        <w:rPr>
          <w:rFonts w:ascii="宋体" w:hAnsi="宋体" w:cs="宋体"/>
          <w:spacing w:val="7"/>
          <w:sz w:val="24"/>
          <w:szCs w:val="24"/>
        </w:rPr>
      </w:pPr>
      <w:r>
        <w:rPr>
          <w:rFonts w:hint="eastAsia" w:ascii="宋体" w:hAnsi="宋体" w:cs="宋体"/>
          <w:spacing w:val="7"/>
          <w:sz w:val="24"/>
          <w:szCs w:val="24"/>
        </w:rPr>
        <w:t>乙方项目联系人：</w:t>
      </w:r>
      <w:r>
        <w:rPr>
          <w:rFonts w:hint="eastAsia" w:ascii="宋体" w:hAnsi="宋体" w:cs="宋体"/>
          <w:spacing w:val="7"/>
          <w:sz w:val="24"/>
          <w:szCs w:val="24"/>
          <w:u w:val="single"/>
        </w:rPr>
        <w:t xml:space="preserve">         </w:t>
      </w:r>
      <w:r>
        <w:rPr>
          <w:rFonts w:hint="eastAsia" w:ascii="宋体" w:hAnsi="宋体" w:cs="宋体"/>
          <w:spacing w:val="7"/>
          <w:sz w:val="24"/>
          <w:szCs w:val="24"/>
        </w:rPr>
        <w:t xml:space="preserve">        电话：</w:t>
      </w:r>
      <w:r>
        <w:rPr>
          <w:rFonts w:hint="eastAsia" w:ascii="宋体" w:hAnsi="宋体" w:cs="宋体"/>
          <w:spacing w:val="7"/>
          <w:sz w:val="24"/>
          <w:szCs w:val="24"/>
          <w:u w:val="single"/>
        </w:rPr>
        <w:t xml:space="preserve">            </w:t>
      </w:r>
      <w:r>
        <w:rPr>
          <w:rFonts w:hint="eastAsia" w:ascii="宋体" w:hAnsi="宋体" w:cs="宋体"/>
          <w:spacing w:val="7"/>
          <w:sz w:val="24"/>
          <w:szCs w:val="24"/>
        </w:rPr>
        <w:t xml:space="preserve">     </w:t>
      </w:r>
    </w:p>
    <w:p>
      <w:pPr>
        <w:numPr>
          <w:ilvl w:val="0"/>
          <w:numId w:val="6"/>
        </w:numPr>
        <w:spacing w:after="156" w:afterLines="50" w:line="360" w:lineRule="auto"/>
        <w:rPr>
          <w:rFonts w:ascii="宋体" w:hAnsi="宋体" w:eastAsia="宋体" w:cs="宋体"/>
          <w:spacing w:val="7"/>
          <w:sz w:val="24"/>
        </w:rPr>
      </w:pPr>
      <w:r>
        <w:rPr>
          <w:rFonts w:hint="eastAsia" w:ascii="宋体" w:hAnsi="宋体" w:eastAsia="宋体" w:cs="宋体"/>
          <w:spacing w:val="7"/>
          <w:sz w:val="24"/>
        </w:rPr>
        <w:t>乙方做好线路砍青、断电等工作，加强与地方协调和联系，确保断电后及时恢复，</w:t>
      </w:r>
    </w:p>
    <w:p>
      <w:pPr>
        <w:numPr>
          <w:ilvl w:val="0"/>
          <w:numId w:val="6"/>
        </w:numPr>
        <w:spacing w:line="480" w:lineRule="exact"/>
        <w:rPr>
          <w:rFonts w:ascii="宋体" w:hAnsi="宋体" w:eastAsia="宋体" w:cs="宋体"/>
          <w:spacing w:val="4"/>
          <w:sz w:val="24"/>
        </w:rPr>
      </w:pPr>
      <w:r>
        <w:rPr>
          <w:rFonts w:hint="eastAsia" w:ascii="宋体" w:hAnsi="宋体" w:eastAsia="宋体" w:cs="宋体"/>
          <w:spacing w:val="7"/>
          <w:sz w:val="24"/>
        </w:rPr>
        <w:t>乙方做好高低压设备的检测工作，每年出具一次检测报告。</w:t>
      </w:r>
    </w:p>
    <w:p>
      <w:pPr>
        <w:numPr>
          <w:ilvl w:val="0"/>
          <w:numId w:val="6"/>
        </w:numPr>
        <w:spacing w:line="480" w:lineRule="exact"/>
        <w:rPr>
          <w:rFonts w:ascii="宋体" w:hAnsi="宋体" w:eastAsia="宋体" w:cs="宋体"/>
          <w:spacing w:val="4"/>
          <w:sz w:val="24"/>
        </w:rPr>
      </w:pPr>
      <w:r>
        <w:rPr>
          <w:rFonts w:hint="eastAsia" w:ascii="宋体" w:hAnsi="宋体" w:eastAsia="宋体" w:cs="宋体"/>
          <w:spacing w:val="14"/>
          <w:sz w:val="24"/>
        </w:rPr>
        <w:t>甲乙双方应确定现场管理人员，甲方由管理处维护队具</w:t>
      </w:r>
      <w:r>
        <w:rPr>
          <w:rFonts w:hint="eastAsia" w:ascii="宋体" w:hAnsi="宋体" w:eastAsia="宋体" w:cs="宋体"/>
          <w:spacing w:val="13"/>
          <w:sz w:val="24"/>
        </w:rPr>
        <w:t>体</w:t>
      </w:r>
      <w:r>
        <w:rPr>
          <w:rFonts w:hint="eastAsia" w:ascii="宋体" w:hAnsi="宋体" w:eastAsia="宋体" w:cs="宋体"/>
          <w:spacing w:val="17"/>
          <w:sz w:val="24"/>
        </w:rPr>
        <w:t>实施现场管理工作。乙方应保障维保电话24小时畅通，因乙方维</w:t>
      </w:r>
      <w:r>
        <w:rPr>
          <w:rFonts w:hint="eastAsia" w:ascii="宋体" w:hAnsi="宋体" w:eastAsia="宋体" w:cs="宋体"/>
          <w:spacing w:val="16"/>
          <w:sz w:val="24"/>
        </w:rPr>
        <w:t>保</w:t>
      </w:r>
      <w:r>
        <w:rPr>
          <w:rFonts w:hint="eastAsia" w:ascii="宋体" w:hAnsi="宋体" w:eastAsia="宋体" w:cs="宋体"/>
          <w:spacing w:val="8"/>
          <w:sz w:val="24"/>
        </w:rPr>
        <w:t>电话不畅通导致甲方不能及时报修的，甲方可以另找他方维修，维修</w:t>
      </w:r>
      <w:r>
        <w:rPr>
          <w:rFonts w:hint="eastAsia" w:ascii="宋体" w:hAnsi="宋体" w:eastAsia="宋体" w:cs="宋体"/>
          <w:spacing w:val="5"/>
          <w:sz w:val="24"/>
        </w:rPr>
        <w:t>费用由乙方承担。</w:t>
      </w:r>
    </w:p>
    <w:p>
      <w:pPr>
        <w:numPr>
          <w:ilvl w:val="0"/>
          <w:numId w:val="5"/>
        </w:numPr>
        <w:spacing w:line="480" w:lineRule="exact"/>
        <w:ind w:firstLine="545" w:firstLineChars="219"/>
        <w:rPr>
          <w:rFonts w:ascii="宋体" w:hAnsi="宋体" w:eastAsia="宋体" w:cs="宋体"/>
          <w:b/>
          <w:bCs/>
          <w:spacing w:val="4"/>
          <w:sz w:val="24"/>
        </w:rPr>
      </w:pPr>
      <w:r>
        <w:rPr>
          <w:rFonts w:hint="eastAsia" w:ascii="宋体" w:hAnsi="宋体" w:eastAsia="宋体" w:cs="宋体"/>
          <w:b/>
          <w:bCs/>
          <w:spacing w:val="4"/>
          <w:sz w:val="24"/>
        </w:rPr>
        <w:t>乙方在维保服务内，发生下列情况，应按相关工作流程报批，经审定后其费用由甲方另行支付乙方：</w:t>
      </w:r>
    </w:p>
    <w:p>
      <w:pPr>
        <w:numPr>
          <w:ilvl w:val="0"/>
          <w:numId w:val="7"/>
        </w:numPr>
        <w:spacing w:line="480" w:lineRule="exact"/>
        <w:rPr>
          <w:rFonts w:ascii="宋体" w:hAnsi="宋体" w:eastAsia="宋体" w:cs="宋体"/>
          <w:spacing w:val="7"/>
          <w:sz w:val="24"/>
        </w:rPr>
      </w:pPr>
      <w:r>
        <w:rPr>
          <w:rFonts w:hint="eastAsia" w:ascii="宋体" w:hAnsi="宋体" w:eastAsia="宋体" w:cs="宋体"/>
          <w:spacing w:val="7"/>
          <w:sz w:val="24"/>
        </w:rPr>
        <w:t>高低压设备出现故障，需及时抢修更换设备和备件的，由甲乙双方现场认定，甲方现场人员做好现场拍照，记录，并将照片和现场情况逐级报告管理处分管领导和公司营运部具体管理的机电人员或副部长，由其电话逐级报批后，可先行抢修，涉及的安装费和设备、材料费由甲方按相关标准审定后支付乙方；</w:t>
      </w:r>
    </w:p>
    <w:p>
      <w:pPr>
        <w:pStyle w:val="33"/>
        <w:numPr>
          <w:ilvl w:val="0"/>
          <w:numId w:val="7"/>
        </w:numPr>
        <w:tabs>
          <w:tab w:val="left" w:pos="142"/>
          <w:tab w:val="left" w:pos="838"/>
        </w:tabs>
        <w:spacing w:line="480" w:lineRule="exact"/>
        <w:ind w:right="-16" w:rightChars="-5"/>
        <w:rPr>
          <w:rFonts w:ascii="宋体" w:hAnsi="宋体" w:eastAsia="宋体" w:cs="宋体"/>
          <w:spacing w:val="7"/>
          <w:sz w:val="24"/>
        </w:rPr>
      </w:pPr>
      <w:r>
        <w:rPr>
          <w:rFonts w:hint="eastAsia" w:ascii="宋体" w:hAnsi="宋体" w:eastAsia="宋体" w:cs="宋体"/>
          <w:spacing w:val="7"/>
          <w:sz w:val="24"/>
        </w:rPr>
        <w:t>乙方在</w:t>
      </w:r>
      <w:r>
        <w:rPr>
          <w:rFonts w:hint="eastAsia" w:ascii="宋体" w:hAnsi="宋体" w:eastAsia="宋体" w:cs="宋体"/>
          <w:spacing w:val="7"/>
          <w:sz w:val="24"/>
          <w:lang w:eastAsia="zh-CN"/>
        </w:rPr>
        <w:t>秦巴</w:t>
      </w:r>
      <w:r>
        <w:rPr>
          <w:rFonts w:hint="eastAsia" w:ascii="宋体" w:hAnsi="宋体" w:eastAsia="宋体" w:cs="宋体"/>
          <w:spacing w:val="7"/>
          <w:sz w:val="24"/>
        </w:rPr>
        <w:t>高速公路场外电力线路及设施设备维护工程合同实施过程中，接受甲方委托采购相关设施设备及材料备件等，同时乙方有义务按照甲方要求积极配合甲方采购设施设备及材料备件等。需更换配件设施设备材料的，采购的易损易耗材料单价未超过人民币</w:t>
      </w:r>
      <w:r>
        <w:rPr>
          <w:rFonts w:hint="eastAsia" w:ascii="宋体" w:hAnsi="宋体" w:eastAsia="宋体" w:cs="宋体"/>
          <w:spacing w:val="7"/>
          <w:sz w:val="24"/>
          <w:lang w:val="en-US" w:eastAsia="zh-CN"/>
        </w:rPr>
        <w:t xml:space="preserve">   </w:t>
      </w:r>
      <w:r>
        <w:rPr>
          <w:rFonts w:hint="eastAsia" w:ascii="宋体" w:hAnsi="宋体" w:eastAsia="宋体" w:cs="宋体"/>
          <w:spacing w:val="7"/>
          <w:sz w:val="24"/>
        </w:rPr>
        <w:t>元的，其材料、人工、安装等费用均包含在日常维护费中，不单独报价。材料单价超过</w:t>
      </w:r>
      <w:r>
        <w:rPr>
          <w:rFonts w:hint="eastAsia" w:ascii="宋体" w:hAnsi="宋体" w:eastAsia="宋体" w:cs="宋体"/>
          <w:spacing w:val="7"/>
          <w:sz w:val="24"/>
          <w:lang w:val="en-US" w:eastAsia="zh-CN"/>
        </w:rPr>
        <w:t xml:space="preserve">   </w:t>
      </w:r>
      <w:r>
        <w:rPr>
          <w:rFonts w:hint="eastAsia" w:ascii="宋体" w:hAnsi="宋体" w:eastAsia="宋体" w:cs="宋体"/>
          <w:spacing w:val="7"/>
          <w:sz w:val="24"/>
        </w:rPr>
        <w:t>元的，按两种情形结算：</w:t>
      </w:r>
    </w:p>
    <w:p>
      <w:pPr>
        <w:pStyle w:val="6"/>
        <w:numPr>
          <w:ilvl w:val="0"/>
          <w:numId w:val="8"/>
        </w:numPr>
        <w:tabs>
          <w:tab w:val="left" w:pos="142"/>
        </w:tabs>
        <w:spacing w:line="480" w:lineRule="exact"/>
        <w:ind w:right="-16" w:rightChars="-5" w:firstLine="508" w:firstLineChars="200"/>
        <w:rPr>
          <w:rFonts w:ascii="宋体" w:hAnsi="宋体" w:eastAsia="宋体" w:cs="宋体"/>
          <w:spacing w:val="7"/>
          <w:sz w:val="24"/>
        </w:rPr>
      </w:pPr>
      <w:r>
        <w:rPr>
          <w:rFonts w:hint="eastAsia" w:ascii="宋体" w:hAnsi="宋体" w:eastAsia="宋体" w:cs="宋体"/>
          <w:spacing w:val="7"/>
          <w:sz w:val="24"/>
        </w:rPr>
        <w:t>对于未列入甲方材料采购清单限价表的，乙方采购清单及单价经甲方审核后实施，材料费用据实支付。</w:t>
      </w:r>
    </w:p>
    <w:p>
      <w:pPr>
        <w:pStyle w:val="6"/>
        <w:numPr>
          <w:ilvl w:val="0"/>
          <w:numId w:val="8"/>
        </w:numPr>
        <w:tabs>
          <w:tab w:val="left" w:pos="142"/>
        </w:tabs>
        <w:spacing w:line="480" w:lineRule="exact"/>
        <w:ind w:right="-16" w:rightChars="-5" w:firstLine="508" w:firstLineChars="200"/>
        <w:rPr>
          <w:rFonts w:ascii="宋体" w:hAnsi="宋体" w:eastAsia="宋体" w:cs="宋体"/>
          <w:sz w:val="24"/>
        </w:rPr>
      </w:pPr>
      <w:r>
        <w:rPr>
          <w:rFonts w:hint="eastAsia" w:ascii="宋体" w:hAnsi="宋体" w:eastAsia="宋体" w:cs="宋体"/>
          <w:spacing w:val="7"/>
          <w:sz w:val="24"/>
        </w:rPr>
        <w:t>列入甲方材料采购清单限价表的，材料结算单价=甲方材料单价限价×</w:t>
      </w:r>
      <w:r>
        <w:rPr>
          <w:rFonts w:hint="eastAsia" w:ascii="宋体" w:hAnsi="宋体" w:eastAsia="宋体" w:cs="宋体"/>
          <w:spacing w:val="7"/>
          <w:sz w:val="24"/>
          <w:lang w:eastAsia="zh-Hans"/>
        </w:rPr>
        <w:t>报价比例</w:t>
      </w:r>
      <w:r>
        <w:rPr>
          <w:rFonts w:hint="eastAsia" w:ascii="宋体" w:hAnsi="宋体" w:eastAsia="宋体" w:cs="宋体"/>
          <w:spacing w:val="7"/>
          <w:sz w:val="24"/>
        </w:rPr>
        <w:t>，</w:t>
      </w:r>
      <w:r>
        <w:rPr>
          <w:rFonts w:hint="eastAsia" w:ascii="宋体" w:hAnsi="宋体" w:eastAsia="宋体" w:cs="宋体"/>
          <w:spacing w:val="7"/>
          <w:sz w:val="24"/>
          <w:lang w:val="en-US" w:eastAsia="zh-CN"/>
        </w:rPr>
        <w:t>按甲方确认</w:t>
      </w:r>
      <w:r>
        <w:rPr>
          <w:rFonts w:hint="eastAsia" w:ascii="宋体" w:hAnsi="宋体" w:eastAsia="宋体" w:cs="宋体"/>
          <w:spacing w:val="7"/>
          <w:sz w:val="24"/>
        </w:rPr>
        <w:t>数量据实计量。更换设施设备及配件的人工、安装等费用由乙方承担且包含在相关子目费用中，不单独报价。</w:t>
      </w:r>
    </w:p>
    <w:p>
      <w:pPr>
        <w:spacing w:before="184" w:line="480" w:lineRule="exact"/>
        <w:ind w:right="97" w:firstLine="554" w:firstLineChars="219"/>
        <w:rPr>
          <w:rFonts w:ascii="宋体" w:hAnsi="宋体" w:eastAsia="宋体" w:cs="宋体"/>
          <w:b/>
          <w:bCs/>
          <w:spacing w:val="5"/>
          <w:sz w:val="24"/>
        </w:rPr>
      </w:pPr>
      <w:r>
        <w:rPr>
          <w:rFonts w:hint="eastAsia" w:ascii="宋体" w:hAnsi="宋体" w:eastAsia="宋体" w:cs="宋体"/>
          <w:b/>
          <w:bCs/>
          <w:spacing w:val="6"/>
          <w:sz w:val="24"/>
        </w:rPr>
        <w:t>四</w:t>
      </w:r>
      <w:r>
        <w:rPr>
          <w:rFonts w:hint="eastAsia" w:ascii="宋体" w:hAnsi="宋体" w:eastAsia="宋体" w:cs="宋体"/>
          <w:spacing w:val="-56"/>
          <w:sz w:val="24"/>
        </w:rPr>
        <w:t xml:space="preserve"> </w:t>
      </w:r>
      <w:r>
        <w:rPr>
          <w:rFonts w:hint="eastAsia" w:ascii="宋体" w:hAnsi="宋体" w:eastAsia="宋体" w:cs="宋体"/>
          <w:b/>
          <w:bCs/>
          <w:spacing w:val="6"/>
          <w:sz w:val="24"/>
        </w:rPr>
        <w:t>、在合同期内，有下列情行，甲方可单方解除合</w:t>
      </w:r>
      <w:r>
        <w:rPr>
          <w:rFonts w:hint="eastAsia" w:ascii="宋体" w:hAnsi="宋体" w:eastAsia="宋体" w:cs="宋体"/>
          <w:b/>
          <w:bCs/>
          <w:spacing w:val="5"/>
          <w:sz w:val="24"/>
        </w:rPr>
        <w:t>同</w:t>
      </w:r>
    </w:p>
    <w:p>
      <w:pPr>
        <w:numPr>
          <w:ilvl w:val="0"/>
          <w:numId w:val="9"/>
        </w:numPr>
        <w:spacing w:line="480" w:lineRule="exact"/>
        <w:ind w:firstLine="556" w:firstLineChars="219"/>
        <w:rPr>
          <w:rFonts w:ascii="宋体" w:hAnsi="宋体" w:eastAsia="宋体" w:cs="宋体"/>
          <w:spacing w:val="7"/>
          <w:sz w:val="24"/>
        </w:rPr>
      </w:pPr>
      <w:r>
        <w:rPr>
          <w:rFonts w:hint="eastAsia" w:ascii="宋体" w:hAnsi="宋体" w:eastAsia="宋体" w:cs="宋体"/>
          <w:spacing w:val="7"/>
          <w:sz w:val="24"/>
          <w:lang w:val="en-US" w:eastAsia="zh-CN"/>
        </w:rPr>
        <w:t>乙</w:t>
      </w:r>
      <w:r>
        <w:rPr>
          <w:rFonts w:hint="eastAsia" w:ascii="宋体" w:hAnsi="宋体" w:eastAsia="宋体" w:cs="宋体"/>
          <w:spacing w:val="7"/>
          <w:sz w:val="24"/>
        </w:rPr>
        <w:t>方在合同期内，维保资质发生变化，不能满足该维保项目要求资置的。</w:t>
      </w:r>
    </w:p>
    <w:p>
      <w:pPr>
        <w:numPr>
          <w:ilvl w:val="0"/>
          <w:numId w:val="9"/>
        </w:numPr>
        <w:spacing w:line="480" w:lineRule="exact"/>
        <w:ind w:firstLine="556" w:firstLineChars="219"/>
        <w:rPr>
          <w:rFonts w:ascii="宋体" w:hAnsi="宋体" w:eastAsia="宋体" w:cs="宋体"/>
          <w:spacing w:val="7"/>
          <w:sz w:val="24"/>
        </w:rPr>
      </w:pPr>
      <w:r>
        <w:rPr>
          <w:rFonts w:hint="eastAsia" w:ascii="宋体" w:hAnsi="宋体" w:eastAsia="宋体" w:cs="宋体"/>
          <w:spacing w:val="7"/>
          <w:sz w:val="24"/>
        </w:rPr>
        <w:t>乙方不认真履行合同要求，不及时处置发生的电力故障或不按要求进行日常维保，给甲方带来工作影响的。</w:t>
      </w:r>
    </w:p>
    <w:p>
      <w:pPr>
        <w:numPr>
          <w:ilvl w:val="0"/>
          <w:numId w:val="9"/>
        </w:numPr>
        <w:spacing w:line="480" w:lineRule="exact"/>
        <w:ind w:firstLine="556" w:firstLineChars="219"/>
        <w:rPr>
          <w:rFonts w:eastAsia="宋体"/>
        </w:rPr>
      </w:pPr>
      <w:r>
        <w:rPr>
          <w:rFonts w:hint="eastAsia" w:ascii="宋体" w:hAnsi="宋体" w:eastAsia="宋体" w:cs="宋体"/>
          <w:spacing w:val="7"/>
          <w:sz w:val="24"/>
        </w:rPr>
        <w:t>乙方日常维保和抢修，其更换的备件与现场不符，有意套取甲方支付资金的；</w:t>
      </w:r>
    </w:p>
    <w:p>
      <w:pPr>
        <w:spacing w:before="181" w:line="480" w:lineRule="exact"/>
        <w:ind w:right="87" w:firstLine="523" w:firstLineChars="219"/>
        <w:jc w:val="left"/>
        <w:rPr>
          <w:rFonts w:ascii="宋体" w:hAnsi="宋体" w:eastAsia="宋体" w:cs="宋体"/>
          <w:b/>
          <w:bCs/>
          <w:spacing w:val="-1"/>
          <w:sz w:val="24"/>
        </w:rPr>
      </w:pPr>
      <w:r>
        <w:rPr>
          <w:rFonts w:hint="eastAsia" w:ascii="宋体" w:hAnsi="宋体" w:eastAsia="宋体" w:cs="宋体"/>
          <w:b/>
          <w:bCs/>
          <w:spacing w:val="-1"/>
          <w:sz w:val="24"/>
        </w:rPr>
        <w:t>五、</w:t>
      </w:r>
      <w:r>
        <w:rPr>
          <w:rFonts w:hint="eastAsia" w:ascii="宋体" w:hAnsi="宋体" w:eastAsia="宋体" w:cs="宋体"/>
          <w:spacing w:val="-31"/>
          <w:sz w:val="24"/>
        </w:rPr>
        <w:t xml:space="preserve"> </w:t>
      </w:r>
      <w:r>
        <w:rPr>
          <w:rFonts w:hint="eastAsia" w:ascii="宋体" w:hAnsi="宋体" w:eastAsia="宋体" w:cs="宋体"/>
          <w:b/>
          <w:bCs/>
          <w:spacing w:val="-1"/>
          <w:sz w:val="24"/>
        </w:rPr>
        <w:t>维护保养费用</w:t>
      </w:r>
    </w:p>
    <w:p>
      <w:pPr>
        <w:spacing w:line="480" w:lineRule="exact"/>
        <w:ind w:firstLine="608" w:firstLineChars="219"/>
      </w:pPr>
      <w:r>
        <w:rPr>
          <w:rFonts w:hint="eastAsia" w:ascii="宋体" w:hAnsi="宋体" w:eastAsia="宋体" w:cs="宋体"/>
          <w:spacing w:val="19"/>
          <w:sz w:val="24"/>
        </w:rPr>
        <w:t>维保金额共计人民币：</w:t>
      </w:r>
      <w:r>
        <w:rPr>
          <w:rFonts w:hint="eastAsia" w:ascii="宋体" w:hAnsi="宋体" w:eastAsia="宋体" w:cs="宋体"/>
          <w:spacing w:val="19"/>
          <w:sz w:val="24"/>
          <w:lang w:val="en-US" w:eastAsia="zh-CN"/>
        </w:rPr>
        <w:t xml:space="preserve">    </w:t>
      </w:r>
      <w:r>
        <w:rPr>
          <w:rFonts w:hint="eastAsia" w:ascii="宋体" w:hAnsi="宋体" w:eastAsia="宋体" w:cs="宋体"/>
          <w:spacing w:val="19"/>
          <w:sz w:val="24"/>
        </w:rPr>
        <w:t>元人民币：(</w:t>
      </w:r>
      <w:r>
        <w:rPr>
          <w:rFonts w:hint="eastAsia" w:ascii="宋体" w:hAnsi="宋体" w:eastAsia="宋体" w:cs="宋体"/>
          <w:spacing w:val="19"/>
          <w:sz w:val="24"/>
          <w:lang w:eastAsia="zh-CN"/>
        </w:rPr>
        <w:t>大写：</w:t>
      </w:r>
      <w:r>
        <w:rPr>
          <w:rFonts w:hint="eastAsia" w:ascii="宋体" w:hAnsi="宋体" w:eastAsia="宋体" w:cs="宋体"/>
          <w:spacing w:val="19"/>
          <w:sz w:val="24"/>
          <w:lang w:val="en-US" w:eastAsia="zh-CN"/>
        </w:rPr>
        <w:t xml:space="preserve">    </w:t>
      </w:r>
      <w:r>
        <w:rPr>
          <w:rFonts w:hint="eastAsia" w:ascii="宋体" w:hAnsi="宋体" w:eastAsia="宋体" w:cs="宋体"/>
          <w:spacing w:val="19"/>
          <w:sz w:val="24"/>
        </w:rPr>
        <w:t>元整)。</w:t>
      </w:r>
    </w:p>
    <w:p>
      <w:pPr>
        <w:spacing w:before="181" w:line="480" w:lineRule="exact"/>
        <w:ind w:right="87" w:firstLine="523" w:firstLineChars="219"/>
        <w:jc w:val="left"/>
        <w:rPr>
          <w:rFonts w:ascii="宋体" w:hAnsi="宋体" w:eastAsia="宋体" w:cs="宋体"/>
          <w:b/>
          <w:bCs/>
          <w:spacing w:val="-1"/>
          <w:sz w:val="24"/>
        </w:rPr>
      </w:pPr>
      <w:r>
        <w:rPr>
          <w:rFonts w:hint="eastAsia" w:ascii="宋体" w:hAnsi="宋体" w:eastAsia="宋体" w:cs="宋体"/>
          <w:b/>
          <w:bCs/>
          <w:spacing w:val="-1"/>
          <w:sz w:val="24"/>
        </w:rPr>
        <w:t>六 、服务周期</w:t>
      </w:r>
    </w:p>
    <w:p>
      <w:pPr>
        <w:spacing w:line="480" w:lineRule="exact"/>
        <w:ind w:firstLine="643" w:firstLineChars="219"/>
        <w:rPr>
          <w:rFonts w:ascii="宋体" w:hAnsi="宋体" w:eastAsia="宋体" w:cs="宋体"/>
          <w:spacing w:val="27"/>
          <w:sz w:val="24"/>
        </w:rPr>
      </w:pPr>
      <w:r>
        <w:rPr>
          <w:rFonts w:hint="eastAsia" w:ascii="宋体" w:hAnsi="宋体" w:eastAsia="宋体" w:cs="宋体"/>
          <w:spacing w:val="27"/>
          <w:sz w:val="24"/>
        </w:rPr>
        <w:t>四川</w:t>
      </w:r>
      <w:r>
        <w:rPr>
          <w:rFonts w:hint="eastAsia" w:ascii="宋体" w:hAnsi="宋体" w:eastAsia="宋体" w:cs="宋体"/>
          <w:spacing w:val="27"/>
          <w:sz w:val="24"/>
          <w:lang w:eastAsia="zh-CN"/>
        </w:rPr>
        <w:t>秦巴</w:t>
      </w:r>
      <w:r>
        <w:rPr>
          <w:rFonts w:hint="eastAsia" w:ascii="宋体" w:hAnsi="宋体" w:eastAsia="宋体" w:cs="宋体"/>
          <w:spacing w:val="27"/>
          <w:sz w:val="24"/>
        </w:rPr>
        <w:t>高速公路有限责任公司高低压供配电系统维护保养项目总工期为1年，自本合同签字之日起计算，双方签字盖章后生效。</w:t>
      </w:r>
    </w:p>
    <w:p>
      <w:pPr>
        <w:numPr>
          <w:ilvl w:val="0"/>
          <w:numId w:val="10"/>
        </w:numPr>
        <w:spacing w:before="181" w:after="156" w:afterLines="50" w:line="480" w:lineRule="exact"/>
        <w:ind w:right="87" w:firstLine="643" w:firstLineChars="219"/>
        <w:jc w:val="left"/>
        <w:rPr>
          <w:rFonts w:ascii="宋体" w:hAnsi="宋体" w:eastAsia="宋体" w:cs="宋体"/>
          <w:spacing w:val="17"/>
          <w:sz w:val="24"/>
        </w:rPr>
      </w:pPr>
      <w:r>
        <w:rPr>
          <w:rFonts w:hint="eastAsia" w:ascii="宋体" w:hAnsi="宋体" w:eastAsia="宋体" w:cs="宋体"/>
          <w:spacing w:val="27"/>
          <w:sz w:val="24"/>
        </w:rPr>
        <w:t>维保费用付款方式：每6个月支付一次维保费用。</w:t>
      </w:r>
    </w:p>
    <w:p>
      <w:pPr>
        <w:numPr>
          <w:ilvl w:val="0"/>
          <w:numId w:val="10"/>
        </w:numPr>
        <w:spacing w:before="181" w:line="480" w:lineRule="exact"/>
        <w:ind w:right="87" w:firstLine="643" w:firstLineChars="219"/>
        <w:jc w:val="left"/>
        <w:rPr>
          <w:rFonts w:ascii="宋体" w:hAnsi="宋体" w:eastAsia="宋体" w:cs="宋体"/>
          <w:spacing w:val="27"/>
          <w:sz w:val="24"/>
        </w:rPr>
      </w:pPr>
      <w:r>
        <w:rPr>
          <w:rFonts w:hint="eastAsia" w:ascii="宋体" w:hAnsi="宋体" w:eastAsia="宋体" w:cs="宋体"/>
          <w:spacing w:val="27"/>
          <w:sz w:val="24"/>
          <w:lang w:val="en-US" w:eastAsia="zh-CN"/>
        </w:rPr>
        <w:t>违约责任</w:t>
      </w:r>
    </w:p>
    <w:p>
      <w:pPr>
        <w:pStyle w:val="2"/>
        <w:numPr>
          <w:ilvl w:val="-1"/>
          <w:numId w:val="0"/>
        </w:numPr>
        <w:ind w:left="0" w:leftChars="0" w:firstLine="588" w:firstLineChars="200"/>
        <w:rPr>
          <w:rFonts w:hint="eastAsia" w:ascii="宋体" w:hAnsi="宋体" w:cs="宋体"/>
          <w:spacing w:val="27"/>
          <w:sz w:val="24"/>
          <w:lang w:val="en-US" w:eastAsia="zh-CN"/>
        </w:rPr>
      </w:pPr>
      <w:r>
        <w:rPr>
          <w:rFonts w:hint="eastAsia" w:ascii="宋体" w:hAnsi="宋体" w:cs="宋体"/>
          <w:spacing w:val="27"/>
          <w:sz w:val="24"/>
          <w:lang w:val="en-US" w:eastAsia="zh-CN"/>
        </w:rPr>
        <w:t>（一）乙方原因在维保过程中造成甲方、乙方或第三方人身损害或财产损失的，相应责任由乙方承担，甲方因此被要求承担相应责任的，有权向乙方追偿，追偿范围包括但不限于赔偿金、罚金、律师费、诉讼费、差旅费等；</w:t>
      </w:r>
    </w:p>
    <w:p>
      <w:pPr>
        <w:pStyle w:val="2"/>
        <w:numPr>
          <w:ilvl w:val="-1"/>
          <w:numId w:val="0"/>
        </w:numPr>
        <w:ind w:left="0" w:leftChars="0" w:firstLine="0" w:firstLineChars="0"/>
        <w:rPr>
          <w:rFonts w:hint="default" w:ascii="宋体" w:hAnsi="宋体" w:cs="宋体"/>
          <w:spacing w:val="27"/>
          <w:sz w:val="24"/>
          <w:u w:val="none"/>
          <w:lang w:val="en-US" w:eastAsia="zh-CN"/>
        </w:rPr>
      </w:pPr>
      <w:r>
        <w:rPr>
          <w:rFonts w:hint="eastAsia" w:ascii="宋体" w:hAnsi="宋体" w:cs="宋体"/>
          <w:spacing w:val="27"/>
          <w:sz w:val="24"/>
          <w:lang w:val="en-US" w:eastAsia="zh-CN"/>
        </w:rPr>
        <w:t xml:space="preserve">    （二）乙方未按合同约定提供相应维保服务的，没发现一项，甲方有权扣减乙方</w:t>
      </w:r>
      <w:r>
        <w:rPr>
          <w:rFonts w:hint="eastAsia" w:ascii="宋体" w:hAnsi="宋体" w:cs="宋体"/>
          <w:spacing w:val="27"/>
          <w:sz w:val="24"/>
          <w:u w:val="single"/>
          <w:lang w:val="en-US" w:eastAsia="zh-CN"/>
        </w:rPr>
        <w:t xml:space="preserve">  </w:t>
      </w:r>
      <w:r>
        <w:rPr>
          <w:rFonts w:hint="eastAsia" w:ascii="宋体" w:hAnsi="宋体" w:cs="宋体"/>
          <w:spacing w:val="27"/>
          <w:sz w:val="24"/>
          <w:u w:val="none"/>
          <w:lang w:val="en-US" w:eastAsia="zh-CN"/>
        </w:rPr>
        <w:t>元维保费用。</w:t>
      </w:r>
    </w:p>
    <w:p>
      <w:pPr>
        <w:numPr>
          <w:ilvl w:val="0"/>
          <w:numId w:val="10"/>
        </w:numPr>
        <w:spacing w:before="181" w:line="480" w:lineRule="exact"/>
        <w:ind w:right="87" w:firstLine="643" w:firstLineChars="219"/>
        <w:jc w:val="left"/>
        <w:rPr>
          <w:rFonts w:ascii="宋体" w:hAnsi="宋体" w:eastAsia="宋体" w:cs="宋体"/>
          <w:spacing w:val="27"/>
          <w:sz w:val="24"/>
        </w:rPr>
      </w:pPr>
      <w:r>
        <w:rPr>
          <w:rFonts w:hint="eastAsia" w:ascii="宋体" w:hAnsi="宋体" w:eastAsia="宋体" w:cs="宋体"/>
          <w:spacing w:val="27"/>
          <w:sz w:val="24"/>
        </w:rPr>
        <w:t>本协议一式捌份，甲方持陆份，乙方持贰份，具有同等法律效力，经</w:t>
      </w:r>
      <w:r>
        <w:rPr>
          <w:rFonts w:hint="eastAsia" w:ascii="宋体" w:hAnsi="宋体" w:eastAsia="宋体" w:cs="宋体"/>
          <w:spacing w:val="27"/>
          <w:sz w:val="24"/>
          <w:lang w:val="en-US" w:eastAsia="zh-CN"/>
        </w:rPr>
        <w:t>双方</w:t>
      </w:r>
      <w:r>
        <w:rPr>
          <w:rFonts w:hint="eastAsia" w:ascii="宋体" w:hAnsi="宋体" w:eastAsia="宋体" w:cs="宋体"/>
          <w:spacing w:val="27"/>
          <w:sz w:val="24"/>
        </w:rPr>
        <w:t>盖章签字生效。</w:t>
      </w:r>
    </w:p>
    <w:p>
      <w:pPr>
        <w:pStyle w:val="2"/>
        <w:ind w:left="0" w:leftChars="0" w:firstLine="588" w:firstLineChars="200"/>
      </w:pPr>
      <w:r>
        <w:rPr>
          <w:rFonts w:hint="eastAsia" w:ascii="宋体" w:hAnsi="宋体" w:cs="宋体"/>
          <w:spacing w:val="27"/>
          <w:sz w:val="24"/>
          <w:lang w:val="en-US" w:eastAsia="zh-CN"/>
        </w:rPr>
        <w:t>十、因本协议履行产生争议的，双方均同意向甲方所在地人民法院提起诉讼。</w:t>
      </w:r>
    </w:p>
    <w:tbl>
      <w:tblPr>
        <w:tblStyle w:val="13"/>
        <w:tblW w:w="5403" w:type="pct"/>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39"/>
        <w:gridCol w:w="5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83" w:type="pct"/>
          </w:tcPr>
          <w:p>
            <w:pPr>
              <w:spacing w:line="360" w:lineRule="auto"/>
              <w:rPr>
                <w:sz w:val="24"/>
                <w:u w:val="single"/>
              </w:rPr>
            </w:pPr>
            <w:r>
              <w:rPr>
                <w:rFonts w:hint="eastAsia" w:hAnsi="宋体"/>
                <w:sz w:val="24"/>
              </w:rPr>
              <w:t>甲方</w:t>
            </w:r>
            <w:r>
              <w:rPr>
                <w:rFonts w:hAnsi="宋体"/>
                <w:sz w:val="24"/>
              </w:rPr>
              <w:t>：</w:t>
            </w:r>
            <w:r>
              <w:rPr>
                <w:rFonts w:hint="eastAsia" w:hAnsi="宋体"/>
                <w:sz w:val="24"/>
                <w:u w:val="single"/>
              </w:rPr>
              <w:t xml:space="preserve">                   </w:t>
            </w:r>
          </w:p>
          <w:p>
            <w:pPr>
              <w:spacing w:line="360" w:lineRule="auto"/>
              <w:rPr>
                <w:sz w:val="24"/>
              </w:rPr>
            </w:pPr>
            <w:r>
              <w:rPr>
                <w:sz w:val="24"/>
              </w:rPr>
              <w:t>（盖单位</w:t>
            </w:r>
            <w:r>
              <w:rPr>
                <w:rFonts w:hAnsi="宋体"/>
                <w:sz w:val="24"/>
              </w:rPr>
              <w:t>章）</w:t>
            </w:r>
            <w:r>
              <w:rPr>
                <w:sz w:val="24"/>
              </w:rPr>
              <w:t xml:space="preserve">  </w:t>
            </w:r>
            <w:r>
              <w:rPr>
                <w:rFonts w:hint="eastAsia"/>
                <w:sz w:val="24"/>
              </w:rPr>
              <w:t xml:space="preserve">  </w:t>
            </w:r>
          </w:p>
          <w:p>
            <w:pPr>
              <w:spacing w:line="360" w:lineRule="auto"/>
              <w:rPr>
                <w:rFonts w:hAnsi="宋体"/>
                <w:sz w:val="24"/>
              </w:rPr>
            </w:pPr>
            <w:r>
              <w:rPr>
                <w:rFonts w:hAnsi="宋体"/>
                <w:sz w:val="24"/>
              </w:rPr>
              <w:t>法定代表人或其委托代理人：</w:t>
            </w:r>
            <w:r>
              <w:rPr>
                <w:sz w:val="24"/>
                <w:u w:val="single"/>
              </w:rPr>
              <w:t xml:space="preserve"> </w:t>
            </w:r>
            <w:r>
              <w:rPr>
                <w:rFonts w:hint="eastAsia"/>
                <w:sz w:val="24"/>
                <w:u w:val="single"/>
              </w:rPr>
              <w:t xml:space="preserve">   </w:t>
            </w:r>
            <w:r>
              <w:rPr>
                <w:rFonts w:hAnsi="宋体"/>
                <w:sz w:val="24"/>
              </w:rPr>
              <w:t>（签字）</w:t>
            </w:r>
            <w:r>
              <w:rPr>
                <w:sz w:val="24"/>
              </w:rPr>
              <w:t xml:space="preserve">  </w:t>
            </w:r>
            <w:r>
              <w:rPr>
                <w:rFonts w:hint="eastAsia"/>
                <w:sz w:val="24"/>
              </w:rPr>
              <w:t xml:space="preserve">  </w:t>
            </w:r>
          </w:p>
          <w:p>
            <w:pPr>
              <w:spacing w:line="360" w:lineRule="auto"/>
              <w:rPr>
                <w:rFonts w:hAnsi="宋体"/>
                <w:sz w:val="24"/>
              </w:rPr>
            </w:pPr>
          </w:p>
          <w:p>
            <w:pPr>
              <w:pStyle w:val="2"/>
            </w:pPr>
          </w:p>
          <w:p>
            <w:pPr>
              <w:spacing w:line="360" w:lineRule="auto"/>
              <w:rPr>
                <w:rFonts w:eastAsia="宋体"/>
                <w:sz w:val="24"/>
              </w:rPr>
            </w:pPr>
            <w:r>
              <w:rPr>
                <w:rFonts w:hint="eastAsia" w:hAnsi="宋体"/>
                <w:sz w:val="24"/>
              </w:rPr>
              <w:t>经办人：龚建瑞</w:t>
            </w:r>
          </w:p>
          <w:p>
            <w:pPr>
              <w:spacing w:line="360" w:lineRule="auto"/>
              <w:rPr>
                <w:rFonts w:hAnsi="宋体"/>
                <w:sz w:val="24"/>
              </w:rPr>
            </w:pPr>
            <w:r>
              <w:rPr>
                <w:sz w:val="24"/>
              </w:rPr>
              <w:t xml:space="preserve"> </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tc>
        <w:tc>
          <w:tcPr>
            <w:tcW w:w="2516" w:type="pct"/>
          </w:tcPr>
          <w:p>
            <w:pPr>
              <w:spacing w:line="360" w:lineRule="auto"/>
              <w:rPr>
                <w:sz w:val="24"/>
                <w:u w:val="single"/>
              </w:rPr>
            </w:pPr>
            <w:r>
              <w:rPr>
                <w:rFonts w:hint="eastAsia" w:hAnsi="宋体"/>
                <w:sz w:val="24"/>
              </w:rPr>
              <w:t>乙方</w:t>
            </w:r>
            <w:r>
              <w:rPr>
                <w:rFonts w:hAnsi="宋体"/>
                <w:sz w:val="24"/>
              </w:rPr>
              <w:t>：</w:t>
            </w:r>
            <w:r>
              <w:rPr>
                <w:rFonts w:hint="eastAsia" w:hAnsi="宋体"/>
                <w:sz w:val="24"/>
                <w:u w:val="single"/>
              </w:rPr>
              <w:t xml:space="preserve">                   </w:t>
            </w:r>
          </w:p>
          <w:p>
            <w:pPr>
              <w:spacing w:line="360" w:lineRule="auto"/>
              <w:rPr>
                <w:rFonts w:hAnsi="宋体"/>
                <w:sz w:val="24"/>
              </w:rPr>
            </w:pPr>
            <w:r>
              <w:rPr>
                <w:rFonts w:hAnsi="宋体"/>
                <w:sz w:val="24"/>
              </w:rPr>
              <w:t>（盖单位章）</w:t>
            </w:r>
          </w:p>
          <w:p>
            <w:pPr>
              <w:spacing w:line="360" w:lineRule="auto"/>
              <w:ind w:left="600" w:hanging="600" w:hangingChars="250"/>
              <w:jc w:val="left"/>
              <w:rPr>
                <w:sz w:val="24"/>
                <w:u w:val="single"/>
              </w:rPr>
            </w:pPr>
            <w:r>
              <w:rPr>
                <w:rFonts w:hAnsi="宋体"/>
                <w:sz w:val="24"/>
              </w:rPr>
              <w:t>法定代表人或其委托代理人：</w:t>
            </w:r>
            <w:r>
              <w:rPr>
                <w:sz w:val="24"/>
                <w:u w:val="single"/>
              </w:rPr>
              <w:t xml:space="preserve">  </w:t>
            </w:r>
            <w:r>
              <w:rPr>
                <w:rFonts w:hint="eastAsia"/>
                <w:sz w:val="24"/>
                <w:u w:val="single"/>
              </w:rPr>
              <w:t xml:space="preserve">  </w:t>
            </w:r>
            <w:r>
              <w:rPr>
                <w:rFonts w:hAnsi="宋体"/>
                <w:sz w:val="24"/>
              </w:rPr>
              <w:t>（签字）</w:t>
            </w:r>
            <w:r>
              <w:rPr>
                <w:rFonts w:hint="eastAsia"/>
                <w:sz w:val="24"/>
              </w:rPr>
              <w:t xml:space="preserve">    </w:t>
            </w:r>
            <w:r>
              <w:rPr>
                <w:sz w:val="24"/>
              </w:rPr>
              <w:t xml:space="preserve">                       </w:t>
            </w:r>
            <w:r>
              <w:rPr>
                <w:sz w:val="24"/>
                <w:u w:val="single"/>
              </w:rPr>
              <w:t xml:space="preserve">         </w:t>
            </w:r>
          </w:p>
          <w:p>
            <w:pPr>
              <w:spacing w:line="360" w:lineRule="auto"/>
              <w:rPr>
                <w:sz w:val="24"/>
              </w:rPr>
            </w:pPr>
          </w:p>
          <w:p>
            <w:pPr>
              <w:spacing w:line="360" w:lineRule="auto"/>
              <w:rPr>
                <w:sz w:val="24"/>
              </w:rPr>
            </w:pPr>
            <w:r>
              <w:rPr>
                <w:rFonts w:hint="eastAsia"/>
                <w:sz w:val="24"/>
              </w:rPr>
              <w:t>开户行：</w:t>
            </w:r>
            <w:r>
              <w:rPr>
                <w:rFonts w:hint="eastAsia" w:ascii="Times New Roman" w:hAnsi="Times New Roman"/>
                <w:sz w:val="24"/>
                <w:u w:val="single"/>
              </w:rPr>
              <w:t xml:space="preserve">             </w:t>
            </w:r>
          </w:p>
          <w:p>
            <w:pPr>
              <w:spacing w:line="360" w:lineRule="auto"/>
              <w:rPr>
                <w:sz w:val="24"/>
              </w:rPr>
            </w:pPr>
            <w:r>
              <w:rPr>
                <w:rFonts w:hint="eastAsia"/>
                <w:sz w:val="24"/>
              </w:rPr>
              <w:t>账号：</w:t>
            </w:r>
            <w:r>
              <w:rPr>
                <w:rFonts w:hint="eastAsia" w:ascii="Times New Roman" w:hAnsi="Times New Roman"/>
                <w:sz w:val="24"/>
                <w:u w:val="single"/>
              </w:rPr>
              <w:t xml:space="preserve">               </w:t>
            </w:r>
          </w:p>
          <w:p>
            <w:pPr>
              <w:spacing w:line="360" w:lineRule="auto"/>
              <w:rPr>
                <w:rFonts w:hAnsi="宋体"/>
                <w:sz w:val="24"/>
              </w:rPr>
            </w:pP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w:t>
            </w:r>
          </w:p>
        </w:tc>
      </w:tr>
    </w:tbl>
    <w:p>
      <w:pPr>
        <w:pStyle w:val="2"/>
        <w:ind w:left="0" w:leftChars="0" w:firstLine="638" w:firstLineChars="228"/>
        <w:rPr>
          <w:rFonts w:hint="default"/>
          <w:sz w:val="28"/>
          <w:szCs w:val="28"/>
          <w:lang w:val="en-US" w:eastAsia="zh-CN"/>
        </w:r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lang w:val="en-US" w:eastAsia="zh-CN"/>
        </w:rPr>
      </w:pPr>
      <w:bookmarkStart w:id="8" w:name="_Toc31286"/>
      <w:r>
        <w:rPr>
          <w:rFonts w:hint="eastAsia" w:asciiTheme="majorEastAsia" w:hAnsiTheme="majorEastAsia" w:eastAsiaTheme="majorEastAsia" w:cstheme="majorEastAsia"/>
          <w:b/>
          <w:bCs w:val="0"/>
          <w:color w:val="000000"/>
          <w:kern w:val="44"/>
          <w:sz w:val="36"/>
          <w:szCs w:val="36"/>
          <w:lang w:val="en-US" w:eastAsia="zh-CN"/>
        </w:rPr>
        <w:t>比选申请文件格式</w:t>
      </w:r>
      <w:bookmarkEnd w:id="8"/>
    </w:p>
    <w:p>
      <w:pPr>
        <w:pStyle w:val="2"/>
        <w:rPr>
          <w:rFonts w:hint="eastAsia"/>
          <w:lang w:val="en-US" w:eastAsia="zh-CN"/>
        </w:rPr>
      </w:pPr>
    </w:p>
    <w:p>
      <w:pPr>
        <w:jc w:val="right"/>
        <w:rPr>
          <w:rFonts w:ascii="仿宋" w:hAnsi="仿宋" w:eastAsia="仿宋" w:cs="宋体"/>
          <w:b/>
          <w:bCs/>
          <w:bdr w:val="single" w:color="auto" w:sz="4" w:space="0"/>
        </w:rPr>
      </w:pPr>
      <w:r>
        <w:rPr>
          <w:rFonts w:hint="eastAsia" w:ascii="仿宋" w:hAnsi="仿宋" w:eastAsia="仿宋" w:cs="宋体"/>
          <w:b/>
          <w:bCs/>
          <w:bdr w:val="single" w:color="auto" w:sz="4" w:space="0"/>
        </w:rPr>
        <w:t>正本/副本</w:t>
      </w:r>
    </w:p>
    <w:p>
      <w:pPr>
        <w:spacing w:line="400" w:lineRule="exact"/>
        <w:jc w:val="center"/>
        <w:rPr>
          <w:rFonts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 w:hAnsi="仿宋" w:eastAsia="仿宋"/>
          <w:b/>
          <w:bCs/>
          <w:sz w:val="44"/>
          <w:szCs w:val="44"/>
        </w:rPr>
      </w:pPr>
      <w:r>
        <w:rPr>
          <w:rFonts w:hint="eastAsia" w:ascii="仿宋" w:hAnsi="仿宋" w:eastAsia="仿宋" w:cs="仿宋"/>
          <w:b/>
          <w:bCs/>
          <w:sz w:val="44"/>
          <w:szCs w:val="44"/>
        </w:rPr>
        <w:t>巴南段、广巴段、巴陕段场外电力线路及设施设备日常维护项目</w:t>
      </w:r>
    </w:p>
    <w:p>
      <w:pPr>
        <w:pStyle w:val="6"/>
        <w:rPr>
          <w:rFonts w:ascii="仿宋" w:hAnsi="仿宋" w:eastAsia="仿宋"/>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tabs>
          <w:tab w:val="left" w:pos="2800"/>
          <w:tab w:val="left" w:pos="3860"/>
          <w:tab w:val="left" w:pos="4900"/>
        </w:tabs>
        <w:jc w:val="center"/>
        <w:rPr>
          <w:rFonts w:ascii="仿宋" w:hAnsi="仿宋" w:eastAsia="仿宋" w:cs="宋体"/>
          <w:b/>
          <w:bCs/>
          <w:sz w:val="44"/>
          <w:szCs w:val="44"/>
        </w:rPr>
      </w:pPr>
      <w:r>
        <w:rPr>
          <w:rFonts w:hint="eastAsia" w:ascii="仿宋" w:hAnsi="仿宋" w:eastAsia="仿宋" w:cs="宋体"/>
          <w:b/>
          <w:bCs/>
          <w:sz w:val="44"/>
          <w:szCs w:val="44"/>
          <w:lang w:eastAsia="zh-CN"/>
        </w:rPr>
        <w:t>比选申请</w:t>
      </w:r>
      <w:r>
        <w:rPr>
          <w:rFonts w:hint="eastAsia" w:ascii="仿宋" w:hAnsi="仿宋" w:eastAsia="仿宋" w:cs="宋体"/>
          <w:b/>
          <w:bCs/>
          <w:sz w:val="44"/>
          <w:szCs w:val="44"/>
        </w:rPr>
        <w:t>文件</w:t>
      </w:r>
    </w:p>
    <w:p>
      <w:pPr>
        <w:spacing w:line="400" w:lineRule="exact"/>
        <w:rPr>
          <w:rFonts w:ascii="仿宋" w:hAnsi="仿宋" w:eastAsia="仿宋"/>
        </w:rPr>
      </w:pPr>
    </w:p>
    <w:p>
      <w:pPr>
        <w:spacing w:line="400" w:lineRule="exact"/>
        <w:rPr>
          <w:rFonts w:ascii="仿宋" w:hAnsi="仿宋" w:eastAsia="仿宋" w:cs="宋体"/>
        </w:rPr>
      </w:pPr>
    </w:p>
    <w:p>
      <w:pPr>
        <w:spacing w:line="400" w:lineRule="exact"/>
        <w:rPr>
          <w:rFonts w:ascii="仿宋" w:hAnsi="仿宋" w:eastAsia="仿宋" w:cs="宋体"/>
        </w:rPr>
      </w:pPr>
    </w:p>
    <w:p>
      <w:pPr>
        <w:spacing w:line="400" w:lineRule="exact"/>
        <w:rPr>
          <w:rFonts w:ascii="仿宋" w:hAnsi="仿宋" w:eastAsia="仿宋" w:cs="宋体"/>
        </w:rPr>
      </w:pPr>
    </w:p>
    <w:p>
      <w:pPr>
        <w:pStyle w:val="6"/>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p>
    <w:p>
      <w:pPr>
        <w:ind w:left="80"/>
        <w:jc w:val="center"/>
        <w:rPr>
          <w:rFonts w:ascii="仿宋" w:hAnsi="仿宋" w:eastAsia="仿宋" w:cs="宋体"/>
          <w:w w:val="98"/>
        </w:rPr>
      </w:pPr>
    </w:p>
    <w:p>
      <w:pPr>
        <w:ind w:left="80"/>
        <w:jc w:val="center"/>
        <w:rPr>
          <w:rFonts w:ascii="仿宋" w:hAnsi="仿宋" w:eastAsia="仿宋" w:cs="宋体"/>
          <w:w w:val="98"/>
        </w:rPr>
      </w:pPr>
      <w:r>
        <w:rPr>
          <w:rFonts w:hint="eastAsia" w:ascii="仿宋" w:hAnsi="仿宋" w:eastAsia="仿宋" w:cs="宋体"/>
          <w:w w:val="98"/>
          <w:lang w:eastAsia="zh-CN"/>
        </w:rPr>
        <w:t>比选申请人</w:t>
      </w:r>
      <w:r>
        <w:rPr>
          <w:rFonts w:hint="eastAsia" w:ascii="仿宋" w:hAnsi="仿宋" w:eastAsia="仿宋" w:cs="宋体"/>
          <w:w w:val="98"/>
        </w:rPr>
        <w:t>：</w:t>
      </w:r>
      <w:r>
        <w:rPr>
          <w:rFonts w:hint="eastAsia" w:ascii="仿宋" w:hAnsi="仿宋" w:eastAsia="仿宋" w:cs="宋体"/>
          <w:w w:val="98"/>
          <w:u w:val="single"/>
          <w:lang w:val="en-US" w:eastAsia="zh-CN"/>
        </w:rPr>
        <w:t xml:space="preserve">              </w:t>
      </w:r>
      <w:r>
        <w:rPr>
          <w:rFonts w:hint="eastAsia" w:ascii="仿宋" w:hAnsi="仿宋" w:eastAsia="仿宋" w:cs="宋体"/>
          <w:w w:val="98"/>
        </w:rPr>
        <w:t>（盖单位章）</w:t>
      </w:r>
    </w:p>
    <w:p>
      <w:pPr>
        <w:pStyle w:val="6"/>
        <w:rPr>
          <w:rFonts w:ascii="仿宋" w:hAnsi="仿宋" w:eastAsia="仿宋"/>
          <w:sz w:val="32"/>
          <w:szCs w:val="32"/>
        </w:rPr>
      </w:pPr>
    </w:p>
    <w:p>
      <w:pPr>
        <w:spacing w:line="400" w:lineRule="exact"/>
        <w:ind w:firstLine="3200" w:firstLineChars="1000"/>
        <w:rPr>
          <w:rFonts w:ascii="仿宋" w:hAnsi="仿宋" w:eastAsia="仿宋"/>
        </w:rPr>
      </w:pPr>
      <w:r>
        <w:rPr>
          <w:rFonts w:hint="eastAsia" w:ascii="仿宋" w:hAnsi="仿宋" w:eastAsia="仿宋"/>
        </w:rPr>
        <w:t>年</w:t>
      </w:r>
      <w:r>
        <w:rPr>
          <w:rFonts w:hint="eastAsia" w:ascii="仿宋" w:hAnsi="仿宋" w:eastAsia="仿宋"/>
          <w:lang w:val="en-US" w:eastAsia="zh-CN"/>
        </w:rPr>
        <w:t xml:space="preserve">      </w:t>
      </w:r>
      <w:r>
        <w:rPr>
          <w:rFonts w:hint="eastAsia" w:ascii="仿宋" w:hAnsi="仿宋" w:eastAsia="仿宋"/>
        </w:rPr>
        <w:t>月</w:t>
      </w:r>
      <w:r>
        <w:rPr>
          <w:rFonts w:hint="eastAsia" w:ascii="仿宋" w:hAnsi="仿宋" w:eastAsia="仿宋"/>
          <w:lang w:val="en-US" w:eastAsia="zh-CN"/>
        </w:rPr>
        <w:t xml:space="preserve">     </w:t>
      </w:r>
      <w:r>
        <w:rPr>
          <w:rFonts w:hint="eastAsia" w:ascii="仿宋" w:hAnsi="仿宋" w:eastAsia="仿宋"/>
        </w:rPr>
        <w:t>日</w:t>
      </w:r>
    </w:p>
    <w:p>
      <w:pPr>
        <w:widowControl/>
        <w:spacing w:beforeAutospacing="1" w:afterAutospacing="1"/>
        <w:jc w:val="left"/>
        <w:rPr>
          <w:rFonts w:ascii="仿宋" w:hAnsi="仿宋" w:eastAsia="仿宋"/>
          <w:b/>
        </w:rPr>
        <w:sectPr>
          <w:pgSz w:w="11910" w:h="16840"/>
          <w:pgMar w:top="1134" w:right="1134" w:bottom="1134" w:left="1417" w:header="794" w:footer="794" w:gutter="0"/>
          <w:cols w:space="720" w:num="1"/>
        </w:sectPr>
      </w:pPr>
    </w:p>
    <w:p>
      <w:pPr>
        <w:tabs>
          <w:tab w:val="left" w:pos="1202"/>
        </w:tabs>
        <w:spacing w:before="32"/>
        <w:ind w:right="4"/>
        <w:jc w:val="center"/>
        <w:rPr>
          <w:rFonts w:ascii="仿宋" w:hAnsi="仿宋" w:eastAsia="仿宋"/>
          <w:b/>
        </w:rPr>
      </w:pPr>
      <w:r>
        <w:rPr>
          <w:rFonts w:hint="eastAsia" w:ascii="仿宋" w:hAnsi="仿宋" w:eastAsia="仿宋"/>
          <w:b/>
        </w:rPr>
        <w:t>目录</w:t>
      </w:r>
    </w:p>
    <w:p>
      <w:pPr>
        <w:pStyle w:val="6"/>
        <w:spacing w:line="360" w:lineRule="auto"/>
        <w:ind w:firstLine="643" w:firstLineChars="200"/>
        <w:jc w:val="left"/>
        <w:rPr>
          <w:rFonts w:ascii="仿宋" w:hAnsi="仿宋" w:eastAsia="仿宋"/>
          <w:b/>
          <w:sz w:val="32"/>
          <w:szCs w:val="32"/>
        </w:rPr>
      </w:pPr>
    </w:p>
    <w:p>
      <w:pPr>
        <w:spacing w:line="560" w:lineRule="atLeast"/>
        <w:ind w:left="960" w:leftChars="300"/>
        <w:jc w:val="left"/>
        <w:rPr>
          <w:rFonts w:ascii="仿宋" w:hAnsi="仿宋" w:eastAsia="仿宋"/>
        </w:rPr>
      </w:pPr>
      <w:r>
        <w:rPr>
          <w:rFonts w:ascii="仿宋" w:hAnsi="仿宋" w:eastAsia="仿宋"/>
        </w:rPr>
        <w:t>一</w:t>
      </w:r>
      <w:r>
        <w:rPr>
          <w:rFonts w:hint="eastAsia" w:ascii="仿宋" w:hAnsi="仿宋" w:eastAsia="仿宋"/>
        </w:rPr>
        <w:t>、</w:t>
      </w:r>
      <w:r>
        <w:rPr>
          <w:rFonts w:hint="eastAsia" w:ascii="仿宋" w:hAnsi="仿宋" w:eastAsia="仿宋"/>
          <w:lang w:eastAsia="zh-CN"/>
        </w:rPr>
        <w:t>报价</w:t>
      </w:r>
      <w:r>
        <w:rPr>
          <w:rFonts w:ascii="仿宋" w:hAnsi="仿宋" w:eastAsia="仿宋"/>
        </w:rPr>
        <w:t>函</w:t>
      </w:r>
    </w:p>
    <w:p>
      <w:pPr>
        <w:spacing w:line="560" w:lineRule="atLeast"/>
        <w:ind w:left="960" w:leftChars="300"/>
        <w:jc w:val="left"/>
        <w:rPr>
          <w:rFonts w:ascii="仿宋" w:hAnsi="仿宋" w:eastAsia="仿宋"/>
        </w:rPr>
      </w:pPr>
      <w:r>
        <w:rPr>
          <w:rFonts w:ascii="仿宋" w:hAnsi="仿宋" w:eastAsia="仿宋"/>
        </w:rPr>
        <w:t>二</w:t>
      </w:r>
      <w:r>
        <w:rPr>
          <w:rFonts w:hint="eastAsia" w:ascii="仿宋" w:hAnsi="仿宋" w:eastAsia="仿宋"/>
        </w:rPr>
        <w:t>、</w:t>
      </w:r>
      <w:r>
        <w:rPr>
          <w:rFonts w:ascii="仿宋" w:hAnsi="仿宋" w:eastAsia="仿宋"/>
        </w:rPr>
        <w:t>授权委托书或法定代表人身份证明</w:t>
      </w:r>
    </w:p>
    <w:p>
      <w:pPr>
        <w:spacing w:line="560" w:lineRule="atLeast"/>
        <w:ind w:left="960" w:leftChars="300"/>
        <w:jc w:val="left"/>
        <w:rPr>
          <w:rFonts w:ascii="仿宋" w:hAnsi="仿宋" w:eastAsia="仿宋"/>
        </w:rPr>
      </w:pPr>
      <w:r>
        <w:rPr>
          <w:rFonts w:hint="eastAsia" w:ascii="仿宋" w:hAnsi="仿宋" w:eastAsia="仿宋"/>
        </w:rPr>
        <w:t>三、</w:t>
      </w:r>
      <w:r>
        <w:rPr>
          <w:rFonts w:hint="eastAsia" w:ascii="仿宋" w:hAnsi="仿宋" w:eastAsia="仿宋"/>
          <w:lang w:eastAsia="zh-CN"/>
        </w:rPr>
        <w:t>比选申请人</w:t>
      </w:r>
      <w:r>
        <w:rPr>
          <w:rFonts w:hint="eastAsia" w:ascii="仿宋" w:hAnsi="仿宋" w:eastAsia="仿宋"/>
        </w:rPr>
        <w:t>营业执照复印件</w:t>
      </w:r>
    </w:p>
    <w:p>
      <w:pPr>
        <w:spacing w:line="560" w:lineRule="atLeast"/>
        <w:ind w:left="960" w:leftChars="300"/>
        <w:jc w:val="left"/>
        <w:rPr>
          <w:rFonts w:ascii="仿宋" w:hAnsi="仿宋" w:eastAsia="仿宋"/>
        </w:rPr>
      </w:pPr>
      <w:r>
        <w:rPr>
          <w:rFonts w:hint="eastAsia" w:ascii="仿宋" w:hAnsi="仿宋" w:eastAsia="仿宋"/>
        </w:rPr>
        <w:t>四、</w:t>
      </w:r>
      <w:r>
        <w:rPr>
          <w:rFonts w:hint="eastAsia" w:ascii="仿宋" w:hAnsi="仿宋" w:eastAsia="仿宋"/>
          <w:lang w:eastAsia="zh-CN"/>
        </w:rPr>
        <w:t>比选申请人</w:t>
      </w:r>
      <w:r>
        <w:rPr>
          <w:rFonts w:ascii="仿宋" w:hAnsi="仿宋" w:eastAsia="仿宋"/>
        </w:rPr>
        <w:t>信誉情况</w:t>
      </w:r>
    </w:p>
    <w:p>
      <w:pPr>
        <w:spacing w:line="560" w:lineRule="atLeast"/>
        <w:ind w:left="960" w:leftChars="300"/>
        <w:jc w:val="left"/>
        <w:rPr>
          <w:rFonts w:ascii="仿宋" w:hAnsi="仿宋" w:eastAsia="仿宋"/>
        </w:rPr>
      </w:pPr>
      <w:r>
        <w:rPr>
          <w:rFonts w:hint="eastAsia" w:ascii="仿宋" w:hAnsi="仿宋" w:eastAsia="仿宋"/>
        </w:rPr>
        <w:t>五、</w:t>
      </w:r>
      <w:r>
        <w:rPr>
          <w:rFonts w:ascii="仿宋" w:hAnsi="仿宋" w:eastAsia="仿宋"/>
        </w:rPr>
        <w:t>承诺函</w:t>
      </w:r>
    </w:p>
    <w:p>
      <w:pPr>
        <w:spacing w:line="560" w:lineRule="atLeast"/>
        <w:ind w:left="960" w:leftChars="300"/>
        <w:jc w:val="left"/>
        <w:rPr>
          <w:rFonts w:ascii="仿宋" w:hAnsi="仿宋" w:eastAsia="仿宋"/>
        </w:rPr>
      </w:pPr>
      <w:r>
        <w:rPr>
          <w:rFonts w:hint="eastAsia" w:ascii="仿宋" w:hAnsi="仿宋" w:eastAsia="仿宋"/>
        </w:rPr>
        <w:t>六、技术建议书</w:t>
      </w:r>
    </w:p>
    <w:p>
      <w:pPr>
        <w:spacing w:line="560" w:lineRule="atLeast"/>
        <w:ind w:left="960" w:leftChars="300"/>
        <w:jc w:val="left"/>
        <w:rPr>
          <w:rFonts w:ascii="仿宋" w:hAnsi="仿宋" w:eastAsia="仿宋"/>
        </w:rPr>
      </w:pPr>
      <w:r>
        <w:rPr>
          <w:rFonts w:hint="eastAsia" w:ascii="仿宋" w:hAnsi="仿宋" w:eastAsia="仿宋"/>
        </w:rPr>
        <w:t>七、业绩证明</w:t>
      </w:r>
    </w:p>
    <w:p>
      <w:pPr>
        <w:spacing w:line="560" w:lineRule="atLeast"/>
        <w:ind w:left="960" w:leftChars="300"/>
        <w:jc w:val="left"/>
        <w:rPr>
          <w:rFonts w:ascii="仿宋" w:hAnsi="仿宋" w:eastAsia="仿宋"/>
        </w:rPr>
      </w:pPr>
      <w:r>
        <w:rPr>
          <w:rFonts w:hint="eastAsia" w:ascii="仿宋" w:hAnsi="仿宋" w:eastAsia="仿宋"/>
        </w:rPr>
        <w:t>八、其他资料</w:t>
      </w:r>
    </w:p>
    <w:p>
      <w:r>
        <w:rPr>
          <w:rFonts w:hint="eastAsia" w:ascii="仿宋" w:hAnsi="仿宋" w:eastAsia="仿宋"/>
        </w:rPr>
        <w:br w:type="page"/>
      </w:r>
    </w:p>
    <w:p>
      <w:pPr>
        <w:numPr>
          <w:ilvl w:val="0"/>
          <w:numId w:val="11"/>
        </w:numPr>
        <w:spacing w:line="460" w:lineRule="atLeast"/>
        <w:jc w:val="center"/>
        <w:rPr>
          <w:rFonts w:ascii="仿宋" w:hAnsi="仿宋" w:eastAsia="仿宋"/>
          <w:b/>
        </w:rPr>
      </w:pPr>
      <w:r>
        <w:rPr>
          <w:rFonts w:hint="eastAsia" w:ascii="仿宋" w:hAnsi="仿宋" w:eastAsia="仿宋"/>
          <w:b/>
          <w:lang w:eastAsia="zh-CN"/>
        </w:rPr>
        <w:t>报价</w:t>
      </w:r>
      <w:r>
        <w:rPr>
          <w:rFonts w:hint="eastAsia" w:ascii="仿宋" w:hAnsi="仿宋" w:eastAsia="仿宋"/>
          <w:b/>
        </w:rPr>
        <w:t>函</w:t>
      </w:r>
    </w:p>
    <w:p>
      <w:pPr>
        <w:pStyle w:val="2"/>
        <w:ind w:left="0" w:leftChars="0" w:firstLine="0" w:firstLineChars="0"/>
      </w:pPr>
    </w:p>
    <w:p>
      <w:pPr>
        <w:pStyle w:val="6"/>
        <w:spacing w:line="460" w:lineRule="atLeast"/>
        <w:ind w:firstLine="560" w:firstLineChars="200"/>
        <w:rPr>
          <w:rFonts w:ascii="仿宋" w:hAnsi="仿宋" w:eastAsia="仿宋"/>
          <w:sz w:val="28"/>
          <w:szCs w:val="28"/>
        </w:rPr>
      </w:pPr>
      <w:r>
        <w:rPr>
          <w:rFonts w:hint="eastAsia" w:ascii="仿宋" w:hAnsi="仿宋" w:eastAsia="仿宋"/>
          <w:sz w:val="28"/>
          <w:szCs w:val="28"/>
          <w:u w:val="single"/>
        </w:rPr>
        <w:t>四川秦巴高速公路有限责任公司：</w:t>
      </w:r>
    </w:p>
    <w:p>
      <w:pPr>
        <w:pStyle w:val="6"/>
        <w:spacing w:line="560" w:lineRule="atLeast"/>
        <w:ind w:firstLine="560" w:firstLineChars="200"/>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我方已仔细研究</w:t>
      </w:r>
      <w:r>
        <w:rPr>
          <w:rFonts w:hint="eastAsia" w:ascii="仿宋" w:hAnsi="仿宋" w:eastAsia="仿宋"/>
          <w:sz w:val="28"/>
          <w:szCs w:val="28"/>
          <w:u w:val="single"/>
        </w:rPr>
        <w:t>四川秦巴高速公路有限责任公司巴南段、广巴段、巴陕段场外电力线路及设施设备日常维护项目</w:t>
      </w:r>
      <w:r>
        <w:rPr>
          <w:rFonts w:hint="eastAsia" w:ascii="仿宋" w:hAnsi="仿宋" w:eastAsia="仿宋"/>
          <w:sz w:val="28"/>
          <w:szCs w:val="28"/>
        </w:rPr>
        <w:t>后，我方愿意参加</w:t>
      </w:r>
      <w:r>
        <w:rPr>
          <w:rFonts w:hint="eastAsia" w:ascii="仿宋" w:hAnsi="仿宋" w:eastAsia="仿宋"/>
          <w:sz w:val="28"/>
          <w:szCs w:val="28"/>
          <w:u w:val="single"/>
        </w:rPr>
        <w:t>　　　　</w:t>
      </w:r>
      <w:r>
        <w:rPr>
          <w:rFonts w:hint="eastAsia" w:ascii="仿宋" w:hAnsi="仿宋" w:eastAsia="仿宋"/>
          <w:sz w:val="28"/>
          <w:szCs w:val="28"/>
        </w:rPr>
        <w:t>标段投标，并以</w:t>
      </w:r>
      <w:r>
        <w:rPr>
          <w:rFonts w:hint="eastAsia" w:ascii="仿宋" w:hAnsi="仿宋" w:eastAsia="仿宋"/>
          <w:sz w:val="28"/>
          <w:szCs w:val="28"/>
          <w:lang w:eastAsia="zh-CN"/>
        </w:rPr>
        <w:t>比选</w:t>
      </w:r>
      <w:r>
        <w:rPr>
          <w:rFonts w:hint="eastAsia" w:ascii="仿宋" w:hAnsi="仿宋" w:eastAsia="仿宋"/>
          <w:sz w:val="28"/>
          <w:szCs w:val="28"/>
        </w:rPr>
        <w:t>文件中的工程量清单表及材料清单限价表进行同一比例报价，报价比例为：</w:t>
      </w:r>
      <w:r>
        <w:rPr>
          <w:rFonts w:hint="eastAsia" w:ascii="仿宋" w:hAnsi="仿宋" w:eastAsia="仿宋"/>
          <w:sz w:val="28"/>
          <w:szCs w:val="28"/>
          <w:u w:val="single"/>
        </w:rPr>
        <w:t xml:space="preserve">     %</w:t>
      </w:r>
      <w:r>
        <w:rPr>
          <w:rFonts w:hint="eastAsia" w:ascii="仿宋" w:hAnsi="仿宋" w:eastAsia="仿宋"/>
          <w:sz w:val="28"/>
          <w:szCs w:val="28"/>
        </w:rPr>
        <w:t>，合计人民币</w:t>
      </w:r>
      <w:r>
        <w:rPr>
          <w:rFonts w:hint="eastAsia" w:ascii="仿宋" w:hAnsi="仿宋" w:eastAsia="仿宋"/>
          <w:sz w:val="28"/>
          <w:szCs w:val="28"/>
          <w:u w:val="single"/>
        </w:rPr>
        <w:t>¥       元</w:t>
      </w:r>
      <w:r>
        <w:rPr>
          <w:rFonts w:hint="eastAsia" w:ascii="仿宋" w:hAnsi="仿宋" w:eastAsia="仿宋"/>
          <w:sz w:val="28"/>
          <w:szCs w:val="28"/>
          <w:u w:val="single"/>
          <w:lang w:val="en-US" w:eastAsia="zh-CN"/>
        </w:rPr>
        <w:t>/年</w:t>
      </w:r>
      <w:r>
        <w:rPr>
          <w:rFonts w:hint="eastAsia" w:ascii="仿宋" w:hAnsi="仿宋" w:eastAsia="仿宋"/>
          <w:sz w:val="28"/>
          <w:szCs w:val="28"/>
          <w:u w:val="single"/>
        </w:rPr>
        <w:t>（大写：     元）</w:t>
      </w:r>
      <w:r>
        <w:rPr>
          <w:rFonts w:hint="eastAsia" w:ascii="仿宋" w:hAnsi="仿宋" w:eastAsia="仿宋"/>
          <w:sz w:val="28"/>
          <w:szCs w:val="28"/>
        </w:rPr>
        <w:t>我方愿意按</w:t>
      </w:r>
      <w:r>
        <w:rPr>
          <w:rFonts w:hint="eastAsia" w:ascii="仿宋" w:hAnsi="仿宋" w:eastAsia="仿宋"/>
          <w:sz w:val="28"/>
          <w:szCs w:val="28"/>
          <w:lang w:eastAsia="zh-CN"/>
        </w:rPr>
        <w:t>比选</w:t>
      </w:r>
      <w:r>
        <w:rPr>
          <w:rFonts w:hint="eastAsia" w:ascii="仿宋" w:hAnsi="仿宋" w:eastAsia="仿宋"/>
          <w:sz w:val="28"/>
          <w:szCs w:val="28"/>
        </w:rPr>
        <w:t>文件约定以及本报价文件的内容承担上述工作，对相关内容无任何异议。</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2.我方承诺在</w:t>
      </w:r>
      <w:r>
        <w:rPr>
          <w:rFonts w:hint="eastAsia" w:ascii="仿宋" w:hAnsi="仿宋" w:eastAsia="仿宋"/>
          <w:sz w:val="28"/>
          <w:szCs w:val="28"/>
          <w:lang w:eastAsia="zh-CN"/>
        </w:rPr>
        <w:t>比选</w:t>
      </w:r>
      <w:r>
        <w:rPr>
          <w:rFonts w:hint="eastAsia" w:ascii="仿宋" w:hAnsi="仿宋" w:eastAsia="仿宋"/>
          <w:sz w:val="28"/>
          <w:szCs w:val="28"/>
        </w:rPr>
        <w:t>文件规定的投标有效期内不撤销投标文件。</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3.项目负责人姓名：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4.质量要求：（</w:t>
      </w:r>
      <w:r>
        <w:rPr>
          <w:rFonts w:hint="eastAsia" w:ascii="仿宋" w:hAnsi="仿宋" w:eastAsia="仿宋"/>
          <w:sz w:val="28"/>
          <w:szCs w:val="28"/>
          <w:u w:val="single"/>
        </w:rPr>
        <w:t>满足</w:t>
      </w:r>
      <w:r>
        <w:rPr>
          <w:rFonts w:hint="eastAsia" w:ascii="仿宋" w:hAnsi="仿宋" w:eastAsia="仿宋"/>
          <w:sz w:val="28"/>
          <w:szCs w:val="28"/>
          <w:u w:val="single"/>
          <w:lang w:eastAsia="zh-CN"/>
        </w:rPr>
        <w:t>比选</w:t>
      </w:r>
      <w:r>
        <w:rPr>
          <w:rFonts w:hint="eastAsia" w:ascii="仿宋" w:hAnsi="仿宋" w:eastAsia="仿宋"/>
          <w:sz w:val="28"/>
          <w:szCs w:val="28"/>
          <w:u w:val="single"/>
        </w:rPr>
        <w:t>文件要求</w:t>
      </w:r>
      <w:r>
        <w:rPr>
          <w:rFonts w:hint="eastAsia" w:ascii="仿宋" w:hAnsi="仿宋" w:eastAsia="仿宋"/>
          <w:sz w:val="28"/>
          <w:szCs w:val="28"/>
        </w:rPr>
        <w:t>），安全目标：（</w:t>
      </w:r>
      <w:r>
        <w:rPr>
          <w:rFonts w:hint="eastAsia" w:ascii="仿宋" w:hAnsi="仿宋" w:eastAsia="仿宋"/>
          <w:sz w:val="28"/>
          <w:szCs w:val="28"/>
          <w:u w:val="single"/>
        </w:rPr>
        <w:t>满足</w:t>
      </w:r>
      <w:r>
        <w:rPr>
          <w:rFonts w:hint="eastAsia" w:ascii="仿宋" w:hAnsi="仿宋" w:eastAsia="仿宋"/>
          <w:sz w:val="28"/>
          <w:szCs w:val="28"/>
          <w:u w:val="single"/>
          <w:lang w:eastAsia="zh-CN"/>
        </w:rPr>
        <w:t>比选</w:t>
      </w:r>
      <w:r>
        <w:rPr>
          <w:rFonts w:hint="eastAsia" w:ascii="仿宋" w:hAnsi="仿宋" w:eastAsia="仿宋"/>
          <w:sz w:val="28"/>
          <w:szCs w:val="28"/>
          <w:u w:val="single"/>
        </w:rPr>
        <w:t>文件要求）</w:t>
      </w:r>
      <w:r>
        <w:rPr>
          <w:rFonts w:hint="eastAsia" w:ascii="仿宋" w:hAnsi="仿宋" w:eastAsia="仿宋"/>
          <w:sz w:val="28"/>
          <w:szCs w:val="28"/>
        </w:rPr>
        <w:t>。</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5.如我方中标，我方承诺：</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（1）在收到中标通知书后，在中标通知书规定的期限内与你方签订合同；</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（2）在签订合同时不向你方提出附加条件；</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）在合同约定的期限内完成合同规定的全部义务；</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6.我方在此声明，所递交的投标文件及有关资料内容完整、真实和准确。</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7.在合同协议书正式签署生效之前，本投标函连同你方的中标通知书将构成我们双方之间共同遵守的文件，对双方具有约束力。</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8.（其他补充说明）。</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lang w:eastAsia="zh-CN"/>
        </w:rPr>
        <w:t>比选申请人</w:t>
      </w:r>
      <w:r>
        <w:rPr>
          <w:rFonts w:hint="eastAsia" w:ascii="仿宋" w:hAnsi="仿宋" w:eastAsia="仿宋"/>
          <w:sz w:val="28"/>
          <w:szCs w:val="28"/>
        </w:rPr>
        <w:t>：（盖单位章）</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法定代表人或其委托代理人：（签字）</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lang w:eastAsia="zh-CN"/>
        </w:rPr>
        <w:t>比选申请人</w:t>
      </w:r>
      <w:r>
        <w:rPr>
          <w:rFonts w:hint="eastAsia" w:ascii="仿宋" w:hAnsi="仿宋" w:eastAsia="仿宋"/>
          <w:sz w:val="28"/>
          <w:szCs w:val="28"/>
        </w:rPr>
        <w:t>地址：</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电话：</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邮箱：</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before="67" w:line="305" w:lineRule="exact"/>
        <w:ind w:left="138"/>
        <w:jc w:val="center"/>
      </w:pPr>
      <w:r>
        <w:rPr>
          <w:rFonts w:hint="eastAsia" w:ascii="仿宋" w:hAnsi="仿宋" w:eastAsia="仿宋" w:cs="仿宋"/>
          <w:b/>
          <w:sz w:val="28"/>
          <w:szCs w:val="28"/>
        </w:rPr>
        <w:t>工程量清单报价表（QBWD1标段）</w:t>
      </w:r>
    </w:p>
    <w:tbl>
      <w:tblPr>
        <w:tblStyle w:val="12"/>
        <w:tblW w:w="8383" w:type="dxa"/>
        <w:jc w:val="center"/>
        <w:tblLayout w:type="fixed"/>
        <w:tblCellMar>
          <w:top w:w="0" w:type="dxa"/>
          <w:left w:w="108" w:type="dxa"/>
          <w:bottom w:w="0" w:type="dxa"/>
          <w:right w:w="108" w:type="dxa"/>
        </w:tblCellMar>
      </w:tblPr>
      <w:tblGrid>
        <w:gridCol w:w="1040"/>
        <w:gridCol w:w="2113"/>
        <w:gridCol w:w="1012"/>
        <w:gridCol w:w="900"/>
        <w:gridCol w:w="1075"/>
        <w:gridCol w:w="738"/>
        <w:gridCol w:w="1505"/>
      </w:tblGrid>
      <w:tr>
        <w:tblPrEx>
          <w:tblCellMar>
            <w:top w:w="0" w:type="dxa"/>
            <w:left w:w="108" w:type="dxa"/>
            <w:bottom w:w="0" w:type="dxa"/>
            <w:right w:w="108" w:type="dxa"/>
          </w:tblCellMar>
        </w:tblPrEx>
        <w:trPr>
          <w:trHeight w:val="438"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5" w:rightChars="-39"/>
              <w:jc w:val="center"/>
              <w:rPr>
                <w:rFonts w:ascii="仿宋" w:hAnsi="仿宋" w:eastAsia="仿宋" w:cs="仿宋"/>
                <w:sz w:val="21"/>
                <w:szCs w:val="21"/>
              </w:rPr>
            </w:pPr>
            <w:r>
              <w:rPr>
                <w:rFonts w:hint="eastAsia" w:ascii="仿宋" w:hAnsi="仿宋" w:eastAsia="仿宋" w:cs="仿宋"/>
                <w:sz w:val="21"/>
                <w:szCs w:val="21"/>
              </w:rPr>
              <w:t>细目编号</w:t>
            </w:r>
          </w:p>
        </w:tc>
        <w:tc>
          <w:tcPr>
            <w:tcW w:w="2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细目名称</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单位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数量</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最高限价(元)</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报价比例</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投标价格</w:t>
            </w: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第100章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   则</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安全生产费（非竞争性，不参与降价）</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20000</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20000</w:t>
            </w: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第200章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检查与维护</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10KV线路日常维护费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213</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251</w:t>
            </w:r>
          </w:p>
        </w:tc>
        <w:tc>
          <w:tcPr>
            <w:tcW w:w="738" w:type="dxa"/>
            <w:vMerge w:val="restart"/>
            <w:tcBorders>
              <w:top w:val="nil"/>
              <w:left w:val="nil"/>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u w:val="single"/>
              </w:rPr>
              <w:t xml:space="preserve">   % </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35KV线路日常维护费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375</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324</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636</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203</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线路清障（砍伐乔木等）</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次</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15000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204</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车辆通行费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39600</w:t>
            </w:r>
          </w:p>
        </w:tc>
        <w:tc>
          <w:tcPr>
            <w:tcW w:w="738"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315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投标报价合计（元）</w:t>
            </w:r>
          </w:p>
        </w:tc>
        <w:tc>
          <w:tcPr>
            <w:tcW w:w="523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bl>
    <w:p>
      <w:pPr>
        <w:spacing w:before="67" w:line="305" w:lineRule="exact"/>
        <w:ind w:left="138"/>
        <w:jc w:val="center"/>
        <w:rPr>
          <w:rFonts w:ascii="仿宋" w:hAnsi="仿宋" w:eastAsia="仿宋" w:cs="仿宋"/>
          <w:b/>
          <w:sz w:val="28"/>
          <w:szCs w:val="28"/>
        </w:rPr>
      </w:pPr>
    </w:p>
    <w:p>
      <w:pPr>
        <w:spacing w:before="67" w:line="305" w:lineRule="exact"/>
        <w:ind w:left="138"/>
        <w:jc w:val="center"/>
      </w:pPr>
      <w:r>
        <w:rPr>
          <w:rFonts w:hint="eastAsia" w:ascii="仿宋" w:hAnsi="仿宋" w:eastAsia="仿宋" w:cs="仿宋"/>
          <w:b/>
          <w:sz w:val="28"/>
          <w:szCs w:val="28"/>
        </w:rPr>
        <w:t>工程量清单报价表（QBWD2标段）</w:t>
      </w:r>
    </w:p>
    <w:tbl>
      <w:tblPr>
        <w:tblStyle w:val="12"/>
        <w:tblW w:w="8383" w:type="dxa"/>
        <w:jc w:val="center"/>
        <w:tblLayout w:type="fixed"/>
        <w:tblCellMar>
          <w:top w:w="0" w:type="dxa"/>
          <w:left w:w="108" w:type="dxa"/>
          <w:bottom w:w="0" w:type="dxa"/>
          <w:right w:w="108" w:type="dxa"/>
        </w:tblCellMar>
      </w:tblPr>
      <w:tblGrid>
        <w:gridCol w:w="1040"/>
        <w:gridCol w:w="2113"/>
        <w:gridCol w:w="1012"/>
        <w:gridCol w:w="900"/>
        <w:gridCol w:w="1075"/>
        <w:gridCol w:w="738"/>
        <w:gridCol w:w="1505"/>
      </w:tblGrid>
      <w:tr>
        <w:tblPrEx>
          <w:tblCellMar>
            <w:top w:w="0" w:type="dxa"/>
            <w:left w:w="108" w:type="dxa"/>
            <w:bottom w:w="0" w:type="dxa"/>
            <w:right w:w="108" w:type="dxa"/>
          </w:tblCellMar>
        </w:tblPrEx>
        <w:trPr>
          <w:trHeight w:val="438"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5" w:rightChars="-39"/>
              <w:jc w:val="center"/>
              <w:rPr>
                <w:rFonts w:ascii="仿宋" w:hAnsi="仿宋" w:eastAsia="仿宋" w:cs="仿宋"/>
                <w:sz w:val="21"/>
                <w:szCs w:val="21"/>
              </w:rPr>
            </w:pPr>
            <w:r>
              <w:rPr>
                <w:rFonts w:hint="eastAsia" w:ascii="仿宋" w:hAnsi="仿宋" w:eastAsia="仿宋" w:cs="仿宋"/>
                <w:sz w:val="21"/>
                <w:szCs w:val="21"/>
              </w:rPr>
              <w:t>细目编号</w:t>
            </w:r>
          </w:p>
        </w:tc>
        <w:tc>
          <w:tcPr>
            <w:tcW w:w="2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细目名称</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单位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数量</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最高限价(元)</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报价比例</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投标价格</w:t>
            </w: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第100章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   则</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安全生产费（非竞争性，不参与降价）</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20000</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第200章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检查与维护</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10KV线路日常维护费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259.56</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251</w:t>
            </w:r>
          </w:p>
        </w:tc>
        <w:tc>
          <w:tcPr>
            <w:tcW w:w="738" w:type="dxa"/>
            <w:vMerge w:val="restart"/>
            <w:tcBorders>
              <w:top w:val="nil"/>
              <w:left w:val="nil"/>
              <w:right w:val="single" w:color="auto" w:sz="4" w:space="0"/>
            </w:tcBorders>
            <w:shd w:val="clear" w:color="auto" w:fill="auto"/>
            <w:vAlign w:val="center"/>
          </w:tcPr>
          <w:p>
            <w:pPr>
              <w:widowControl/>
              <w:rPr>
                <w:rFonts w:ascii="仿宋" w:hAnsi="仿宋" w:eastAsia="仿宋" w:cs="仿宋"/>
                <w:sz w:val="21"/>
                <w:szCs w:val="21"/>
                <w:u w:val="single"/>
              </w:rPr>
            </w:pPr>
            <w:r>
              <w:rPr>
                <w:rFonts w:hint="eastAsia" w:ascii="仿宋" w:hAnsi="仿宋" w:eastAsia="仿宋" w:cs="仿宋"/>
                <w:sz w:val="21"/>
                <w:szCs w:val="21"/>
                <w:u w:val="single"/>
              </w:rPr>
              <w:t xml:space="preserve">   % </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35KV线路日常维护费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375</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444</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636</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35KV变电站维护费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203</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线路清障（砍伐乔木等）</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次</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15000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204</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车辆通行费</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39600</w:t>
            </w:r>
          </w:p>
        </w:tc>
        <w:tc>
          <w:tcPr>
            <w:tcW w:w="738"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315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投标报价合计（元）</w:t>
            </w:r>
          </w:p>
        </w:tc>
        <w:tc>
          <w:tcPr>
            <w:tcW w:w="523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bl>
    <w:p>
      <w:pPr>
        <w:spacing w:before="67" w:line="305" w:lineRule="exact"/>
        <w:ind w:left="138"/>
        <w:jc w:val="center"/>
        <w:rPr>
          <w:rFonts w:ascii="仿宋" w:hAnsi="仿宋" w:eastAsia="仿宋" w:cs="仿宋"/>
          <w:b/>
          <w:sz w:val="28"/>
          <w:szCs w:val="28"/>
        </w:rPr>
      </w:pPr>
    </w:p>
    <w:p>
      <w:pPr>
        <w:spacing w:before="67" w:line="305" w:lineRule="exact"/>
        <w:ind w:left="138"/>
        <w:jc w:val="center"/>
        <w:rPr>
          <w:rFonts w:ascii="仿宋" w:hAnsi="仿宋" w:eastAsia="仿宋" w:cs="仿宋"/>
          <w:b/>
          <w:sz w:val="28"/>
          <w:szCs w:val="28"/>
        </w:rPr>
      </w:pPr>
    </w:p>
    <w:p>
      <w:pPr>
        <w:spacing w:before="67" w:line="305" w:lineRule="exact"/>
        <w:ind w:left="138"/>
        <w:jc w:val="center"/>
      </w:pPr>
      <w:r>
        <w:rPr>
          <w:rFonts w:hint="eastAsia" w:ascii="仿宋" w:hAnsi="仿宋" w:eastAsia="仿宋" w:cs="仿宋"/>
          <w:b/>
          <w:sz w:val="28"/>
          <w:szCs w:val="28"/>
        </w:rPr>
        <w:t>工程量清单报价表（QBWD3标段）</w:t>
      </w:r>
    </w:p>
    <w:tbl>
      <w:tblPr>
        <w:tblStyle w:val="12"/>
        <w:tblW w:w="8383" w:type="dxa"/>
        <w:jc w:val="center"/>
        <w:tblLayout w:type="fixed"/>
        <w:tblCellMar>
          <w:top w:w="0" w:type="dxa"/>
          <w:left w:w="108" w:type="dxa"/>
          <w:bottom w:w="0" w:type="dxa"/>
          <w:right w:w="108" w:type="dxa"/>
        </w:tblCellMar>
      </w:tblPr>
      <w:tblGrid>
        <w:gridCol w:w="1040"/>
        <w:gridCol w:w="2113"/>
        <w:gridCol w:w="928"/>
        <w:gridCol w:w="984"/>
        <w:gridCol w:w="1075"/>
        <w:gridCol w:w="738"/>
        <w:gridCol w:w="1505"/>
      </w:tblGrid>
      <w:tr>
        <w:tblPrEx>
          <w:tblCellMar>
            <w:top w:w="0" w:type="dxa"/>
            <w:left w:w="108" w:type="dxa"/>
            <w:bottom w:w="0" w:type="dxa"/>
            <w:right w:w="108" w:type="dxa"/>
          </w:tblCellMar>
        </w:tblPrEx>
        <w:trPr>
          <w:trHeight w:val="438" w:hRule="atLeast"/>
          <w:jc w:val="center"/>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25" w:rightChars="-39"/>
              <w:jc w:val="center"/>
              <w:rPr>
                <w:rFonts w:ascii="仿宋" w:hAnsi="仿宋" w:eastAsia="仿宋" w:cs="仿宋"/>
                <w:sz w:val="21"/>
                <w:szCs w:val="21"/>
              </w:rPr>
            </w:pPr>
            <w:r>
              <w:rPr>
                <w:rFonts w:hint="eastAsia" w:ascii="仿宋" w:hAnsi="仿宋" w:eastAsia="仿宋" w:cs="仿宋"/>
                <w:sz w:val="21"/>
                <w:szCs w:val="21"/>
              </w:rPr>
              <w:t>细目编号</w:t>
            </w:r>
          </w:p>
        </w:tc>
        <w:tc>
          <w:tcPr>
            <w:tcW w:w="21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细目名称</w:t>
            </w:r>
          </w:p>
        </w:tc>
        <w:tc>
          <w:tcPr>
            <w:tcW w:w="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单位</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数量</w:t>
            </w:r>
          </w:p>
        </w:tc>
        <w:tc>
          <w:tcPr>
            <w:tcW w:w="1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最高限价(元)</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报价比例</w:t>
            </w:r>
          </w:p>
        </w:tc>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投标价格</w:t>
            </w: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第100章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   则</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安全生产费（非竞争性，不参与降价）</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20000</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第200章</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检查与维护</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日常维护费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10KV线路日常维护费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595.2</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251</w:t>
            </w:r>
          </w:p>
        </w:tc>
        <w:tc>
          <w:tcPr>
            <w:tcW w:w="738" w:type="dxa"/>
            <w:vMerge w:val="restart"/>
            <w:tcBorders>
              <w:top w:val="nil"/>
              <w:left w:val="nil"/>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u w:val="single"/>
              </w:rPr>
              <w:t xml:space="preserve">   % </w:t>
            </w: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201-2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35KV线路日常维护费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公里*月</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189.24</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375</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变电站维护费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202-1</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10KV变电站维护费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2</w:t>
            </w:r>
            <w:r>
              <w:rPr>
                <w:rFonts w:hint="eastAsia" w:ascii="仿宋" w:hAnsi="仿宋" w:eastAsia="仿宋" w:cs="仿宋"/>
                <w:sz w:val="21"/>
                <w:szCs w:val="21"/>
              </w:rPr>
              <w:t>0</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636</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202-2</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35KV变电站维护费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处*月</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24</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203</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线路清障（砍伐乔木等）</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次</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45000</w:t>
            </w:r>
          </w:p>
        </w:tc>
        <w:tc>
          <w:tcPr>
            <w:tcW w:w="738" w:type="dxa"/>
            <w:vMerge w:val="continue"/>
            <w:tcBorders>
              <w:left w:val="nil"/>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204</w:t>
            </w:r>
          </w:p>
        </w:tc>
        <w:tc>
          <w:tcPr>
            <w:tcW w:w="21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车辆通行费</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总额/年</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1</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39600</w:t>
            </w:r>
          </w:p>
        </w:tc>
        <w:tc>
          <w:tcPr>
            <w:tcW w:w="738"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c>
          <w:tcPr>
            <w:tcW w:w="15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r>
        <w:tblPrEx>
          <w:tblCellMar>
            <w:top w:w="0" w:type="dxa"/>
            <w:left w:w="108" w:type="dxa"/>
            <w:bottom w:w="0" w:type="dxa"/>
            <w:right w:w="108" w:type="dxa"/>
          </w:tblCellMar>
        </w:tblPrEx>
        <w:trPr>
          <w:trHeight w:val="438" w:hRule="atLeast"/>
          <w:jc w:val="center"/>
        </w:trPr>
        <w:tc>
          <w:tcPr>
            <w:tcW w:w="315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r>
              <w:rPr>
                <w:rFonts w:hint="eastAsia" w:ascii="仿宋" w:hAnsi="仿宋" w:eastAsia="仿宋" w:cs="仿宋"/>
                <w:sz w:val="21"/>
                <w:szCs w:val="21"/>
              </w:rPr>
              <w:t>投标报价合计（元）</w:t>
            </w:r>
          </w:p>
        </w:tc>
        <w:tc>
          <w:tcPr>
            <w:tcW w:w="5230"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sz w:val="21"/>
                <w:szCs w:val="21"/>
              </w:rPr>
            </w:pPr>
          </w:p>
        </w:tc>
      </w:tr>
    </w:tbl>
    <w:p/>
    <w:p>
      <w:pPr>
        <w:pStyle w:val="2"/>
        <w:ind w:left="0" w:leftChars="0" w:firstLine="0" w:firstLineChars="0"/>
        <w:jc w:val="center"/>
        <w:rPr>
          <w:b/>
          <w:u w:val="single"/>
        </w:rPr>
      </w:pPr>
    </w:p>
    <w:p>
      <w:pPr>
        <w:pStyle w:val="2"/>
        <w:ind w:left="0" w:leftChars="0" w:firstLine="0" w:firstLineChars="0"/>
        <w:jc w:val="center"/>
        <w:rPr>
          <w:b/>
          <w:u w:val="single"/>
        </w:rPr>
      </w:pPr>
    </w:p>
    <w:p>
      <w:pPr>
        <w:pStyle w:val="2"/>
        <w:ind w:left="0" w:leftChars="0" w:firstLine="0" w:firstLineChars="0"/>
        <w:jc w:val="left"/>
        <w:rPr>
          <w:rFonts w:hint="eastAsia" w:eastAsia="宋体"/>
          <w:lang w:eastAsia="zh-CN"/>
        </w:rPr>
      </w:pPr>
      <w:r>
        <w:rPr>
          <w:rFonts w:hint="eastAsia"/>
          <w:b/>
          <w:u w:val="single"/>
        </w:rPr>
        <w:t>注：</w:t>
      </w:r>
      <w:r>
        <w:rPr>
          <w:rFonts w:hint="eastAsia"/>
          <w:b/>
          <w:u w:val="single"/>
          <w:lang w:val="en-US" w:eastAsia="zh-CN"/>
        </w:rPr>
        <w:t>1.</w:t>
      </w:r>
      <w:r>
        <w:rPr>
          <w:rFonts w:hint="eastAsia"/>
          <w:b/>
          <w:u w:val="single"/>
        </w:rPr>
        <w:t>报价人根据所投标段填写所投标段清单，自行删除未投标段，投标价格根据报价比例按照“四舍五入”，保留2为小数计算</w:t>
      </w:r>
      <w:r>
        <w:rPr>
          <w:rFonts w:hint="eastAsia"/>
          <w:lang w:eastAsia="zh-CN"/>
        </w:rPr>
        <w:t>；</w:t>
      </w:r>
    </w:p>
    <w:p>
      <w:pPr>
        <w:pStyle w:val="2"/>
        <w:ind w:left="0" w:leftChars="0" w:firstLine="0" w:firstLineChars="0"/>
        <w:jc w:val="left"/>
        <w:rPr>
          <w:rFonts w:hint="default"/>
          <w:b/>
          <w:u w:val="single"/>
          <w:lang w:val="en-US" w:eastAsia="zh-CN"/>
        </w:rPr>
      </w:pPr>
      <w:r>
        <w:rPr>
          <w:rFonts w:hint="eastAsia"/>
          <w:b/>
          <w:u w:val="single"/>
          <w:lang w:val="en-US" w:eastAsia="zh-CN"/>
        </w:rPr>
        <w:t>2.《工程量清单报价表》总价为1年维护费用总费用；</w:t>
      </w:r>
    </w:p>
    <w:p>
      <w:pPr>
        <w:pStyle w:val="2"/>
        <w:ind w:left="0" w:leftChars="0" w:firstLine="0" w:firstLineChars="0"/>
        <w:jc w:val="left"/>
        <w:rPr>
          <w:rFonts w:hint="default"/>
          <w:b/>
          <w:u w:val="single"/>
          <w:lang w:val="en-US" w:eastAsia="zh-CN"/>
        </w:rPr>
      </w:pPr>
      <w:r>
        <w:rPr>
          <w:rFonts w:hint="eastAsia"/>
          <w:b/>
          <w:u w:val="single"/>
          <w:lang w:val="en-US" w:eastAsia="zh-CN"/>
        </w:rPr>
        <w:t>3.投标价格计算方式，投标价格（每年）=数量*最高限价*报价比例。</w:t>
      </w:r>
    </w:p>
    <w:p>
      <w:pPr>
        <w:pStyle w:val="2"/>
        <w:ind w:left="0" w:leftChars="0" w:firstLine="0" w:firstLineChars="0"/>
        <w:rPr>
          <w:b/>
          <w:u w:val="single"/>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rPr>
          <w:rFonts w:ascii="宋体" w:hAnsi="宋体" w:cs="宋体"/>
          <w:b/>
          <w:bCs/>
          <w:color w:val="000000"/>
          <w:kern w:val="0"/>
          <w:sz w:val="28"/>
          <w:szCs w:val="28"/>
          <w:lang w:bidi="ar"/>
        </w:rPr>
      </w:pPr>
    </w:p>
    <w:p>
      <w:pPr>
        <w:pStyle w:val="2"/>
        <w:ind w:left="0" w:leftChars="0" w:firstLine="0" w:firstLineChars="0"/>
        <w:jc w:val="center"/>
        <w:rPr>
          <w:rFonts w:ascii="宋体" w:hAnsi="宋体" w:cs="宋体"/>
          <w:b/>
          <w:bCs/>
          <w:color w:val="000000"/>
          <w:kern w:val="0"/>
          <w:sz w:val="28"/>
          <w:szCs w:val="28"/>
          <w:lang w:bidi="ar"/>
        </w:rPr>
      </w:pPr>
    </w:p>
    <w:p>
      <w:pPr>
        <w:pStyle w:val="2"/>
        <w:ind w:left="0" w:leftChars="0" w:firstLine="0" w:firstLineChars="0"/>
        <w:jc w:val="center"/>
        <w:rPr>
          <w:rFonts w:ascii="宋体" w:hAnsi="宋体" w:cs="宋体"/>
          <w:b/>
          <w:bCs/>
          <w:color w:val="000000"/>
          <w:kern w:val="0"/>
          <w:sz w:val="28"/>
          <w:szCs w:val="28"/>
          <w:lang w:bidi="ar"/>
        </w:rPr>
      </w:pPr>
    </w:p>
    <w:p>
      <w:pPr>
        <w:pStyle w:val="2"/>
        <w:ind w:left="0" w:leftChars="0" w:firstLine="0" w:firstLineChars="0"/>
        <w:jc w:val="center"/>
        <w:rPr>
          <w:rFonts w:eastAsia="仿宋"/>
          <w:sz w:val="28"/>
          <w:szCs w:val="28"/>
        </w:rPr>
      </w:pPr>
      <w:r>
        <w:rPr>
          <w:rFonts w:hint="eastAsia" w:ascii="宋体" w:hAnsi="宋体" w:cs="宋体"/>
          <w:b/>
          <w:bCs/>
          <w:color w:val="000000"/>
          <w:kern w:val="0"/>
          <w:sz w:val="28"/>
          <w:szCs w:val="28"/>
          <w:lang w:bidi="ar"/>
        </w:rPr>
        <w:t>材料清单限价表</w:t>
      </w:r>
    </w:p>
    <w:tbl>
      <w:tblPr>
        <w:tblStyle w:val="12"/>
        <w:tblW w:w="9182" w:type="dxa"/>
        <w:tblInd w:w="93" w:type="dxa"/>
        <w:tblLayout w:type="fixed"/>
        <w:tblCellMar>
          <w:top w:w="0" w:type="dxa"/>
          <w:left w:w="108" w:type="dxa"/>
          <w:bottom w:w="0" w:type="dxa"/>
          <w:right w:w="108" w:type="dxa"/>
        </w:tblCellMar>
      </w:tblPr>
      <w:tblGrid>
        <w:gridCol w:w="1008"/>
        <w:gridCol w:w="1964"/>
        <w:gridCol w:w="937"/>
        <w:gridCol w:w="1100"/>
        <w:gridCol w:w="1675"/>
        <w:gridCol w:w="1113"/>
        <w:gridCol w:w="1385"/>
      </w:tblGrid>
      <w:tr>
        <w:tblPrEx>
          <w:tblCellMar>
            <w:top w:w="0" w:type="dxa"/>
            <w:left w:w="108" w:type="dxa"/>
            <w:bottom w:w="0" w:type="dxa"/>
            <w:right w:w="108" w:type="dxa"/>
          </w:tblCellMar>
        </w:tblPrEx>
        <w:trPr>
          <w:trHeight w:val="37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细目号</w:t>
            </w:r>
          </w:p>
        </w:tc>
        <w:tc>
          <w:tcPr>
            <w:tcW w:w="1964"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项目名称</w:t>
            </w:r>
          </w:p>
        </w:tc>
        <w:tc>
          <w:tcPr>
            <w:tcW w:w="93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单位</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工程数量</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业主限价（元）</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报价比例</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投标价格</w:t>
            </w: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水泥杆单干校正</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329</w:t>
            </w:r>
          </w:p>
        </w:tc>
        <w:tc>
          <w:tcPr>
            <w:tcW w:w="111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sz w:val="21"/>
                <w:szCs w:val="21"/>
                <w:u w:val="single"/>
              </w:rPr>
              <w:t xml:space="preserve">   % </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水泥杆双干校正</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422</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更换水泥杆横担</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615</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更换铁塔横担</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1829</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5</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拉线更换</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382</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铁塔螺栓紧固</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台座</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714</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7</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接地装置更换</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3639</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避雷装置更换</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430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9</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导线架设更换(三根含金具）</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km</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87650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导线断股压接</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个</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886</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11</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导线弧垂调整</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818</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12</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更换悬垂绝缘子串</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368</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13</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更换绝缘子串</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454</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14</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更换耐张线夹</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342</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15</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12米水泥电杆组立</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6500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16</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18米水泥电杆组立</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根</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7200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17</w:t>
            </w:r>
          </w:p>
        </w:tc>
        <w:tc>
          <w:tcPr>
            <w:tcW w:w="1964"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35KV电压互感器</w:t>
            </w:r>
          </w:p>
        </w:tc>
        <w:tc>
          <w:tcPr>
            <w:tcW w:w="93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8900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18</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35KV电流互感器</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8900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19</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35KV熔断器</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420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20</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35KV消谐装置</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套</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13450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21</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10KV电压互感器</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2800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22</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10KV电流互感器</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2800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23</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10KV熔断器</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组</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420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24</w:t>
            </w:r>
          </w:p>
        </w:tc>
        <w:tc>
          <w:tcPr>
            <w:tcW w:w="1964"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角钢横担</w:t>
            </w:r>
          </w:p>
        </w:tc>
        <w:tc>
          <w:tcPr>
            <w:tcW w:w="93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条</w:t>
            </w:r>
          </w:p>
        </w:tc>
        <w:tc>
          <w:tcPr>
            <w:tcW w:w="110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410</w:t>
            </w:r>
          </w:p>
        </w:tc>
        <w:tc>
          <w:tcPr>
            <w:tcW w:w="111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r>
        <w:tblPrEx>
          <w:tblCellMar>
            <w:top w:w="0" w:type="dxa"/>
            <w:left w:w="108" w:type="dxa"/>
            <w:bottom w:w="0" w:type="dxa"/>
            <w:right w:w="108" w:type="dxa"/>
          </w:tblCellMar>
        </w:tblPrEx>
        <w:trPr>
          <w:trHeight w:val="495"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25</w:t>
            </w:r>
          </w:p>
        </w:tc>
        <w:tc>
          <w:tcPr>
            <w:tcW w:w="1964"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真空断路器ZW32-12F/630A</w:t>
            </w:r>
          </w:p>
        </w:tc>
        <w:tc>
          <w:tcPr>
            <w:tcW w:w="93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台</w:t>
            </w:r>
          </w:p>
        </w:tc>
        <w:tc>
          <w:tcPr>
            <w:tcW w:w="11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w:t>
            </w:r>
          </w:p>
        </w:tc>
        <w:tc>
          <w:tcPr>
            <w:tcW w:w="16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6400</w:t>
            </w:r>
          </w:p>
        </w:tc>
        <w:tc>
          <w:tcPr>
            <w:tcW w:w="111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lang w:bidi="ar"/>
              </w:rPr>
            </w:pPr>
          </w:p>
        </w:tc>
      </w:tr>
    </w:tbl>
    <w:p>
      <w:pPr>
        <w:spacing w:before="6"/>
        <w:ind w:right="92"/>
        <w:rPr>
          <w:rFonts w:ascii="仿宋" w:hAnsi="仿宋" w:eastAsia="仿宋" w:cs="仿宋"/>
          <w:b/>
          <w:bCs/>
          <w:sz w:val="28"/>
        </w:rPr>
      </w:pPr>
    </w:p>
    <w:p>
      <w:pPr>
        <w:spacing w:before="6"/>
        <w:ind w:right="92"/>
        <w:rPr>
          <w:rFonts w:ascii="仿宋" w:hAnsi="仿宋" w:eastAsia="仿宋" w:cs="仿宋"/>
          <w:b/>
          <w:bCs/>
          <w:sz w:val="28"/>
        </w:rPr>
      </w:pPr>
    </w:p>
    <w:p>
      <w:pPr>
        <w:spacing w:before="6"/>
        <w:ind w:right="92"/>
        <w:rPr>
          <w:rFonts w:ascii="仿宋" w:hAnsi="仿宋" w:eastAsia="仿宋" w:cs="仿宋"/>
          <w:b/>
          <w:bCs/>
          <w:sz w:val="28"/>
        </w:rPr>
      </w:pPr>
      <w:r>
        <w:rPr>
          <w:rFonts w:hint="eastAsia" w:ascii="仿宋" w:hAnsi="仿宋" w:eastAsia="仿宋" w:cs="仿宋"/>
          <w:b/>
          <w:bCs/>
          <w:sz w:val="28"/>
        </w:rPr>
        <w:t>附：工程量清单说明及服务内容</w:t>
      </w:r>
    </w:p>
    <w:p>
      <w:pPr>
        <w:spacing w:before="39"/>
        <w:ind w:left="441"/>
        <w:jc w:val="center"/>
        <w:rPr>
          <w:b/>
          <w:sz w:val="24"/>
        </w:rPr>
      </w:pPr>
      <w:r>
        <w:rPr>
          <w:b/>
          <w:sz w:val="24"/>
        </w:rPr>
        <w:t>工程量清单说明</w:t>
      </w:r>
    </w:p>
    <w:p>
      <w:pPr>
        <w:pStyle w:val="33"/>
        <w:numPr>
          <w:ilvl w:val="0"/>
          <w:numId w:val="12"/>
        </w:numPr>
        <w:tabs>
          <w:tab w:val="left" w:pos="142"/>
        </w:tabs>
        <w:spacing w:line="276" w:lineRule="auto"/>
        <w:ind w:left="0" w:firstLine="404" w:firstLineChars="200"/>
        <w:rPr>
          <w:spacing w:val="-3"/>
          <w:sz w:val="21"/>
        </w:rPr>
      </w:pPr>
      <w:r>
        <w:rPr>
          <w:spacing w:val="-4"/>
          <w:sz w:val="21"/>
        </w:rPr>
        <w:t>工程</w:t>
      </w:r>
      <w:r>
        <w:rPr>
          <w:spacing w:val="-3"/>
          <w:sz w:val="21"/>
        </w:rPr>
        <w:t>量清单分为包干项目和单价承包项目</w:t>
      </w:r>
      <w:r>
        <w:rPr>
          <w:rFonts w:hint="eastAsia"/>
          <w:spacing w:val="-3"/>
          <w:sz w:val="21"/>
        </w:rPr>
        <w:t>,费用为一个合同年度费用</w:t>
      </w:r>
      <w:r>
        <w:rPr>
          <w:spacing w:val="-3"/>
          <w:sz w:val="21"/>
        </w:rPr>
        <w:t>。</w:t>
      </w:r>
    </w:p>
    <w:p>
      <w:pPr>
        <w:pStyle w:val="33"/>
        <w:numPr>
          <w:ilvl w:val="0"/>
          <w:numId w:val="12"/>
        </w:numPr>
        <w:tabs>
          <w:tab w:val="left" w:pos="142"/>
        </w:tabs>
        <w:spacing w:line="276" w:lineRule="auto"/>
        <w:ind w:left="0" w:firstLine="408" w:firstLineChars="200"/>
        <w:rPr>
          <w:spacing w:val="-3"/>
          <w:sz w:val="21"/>
        </w:rPr>
      </w:pPr>
      <w:r>
        <w:rPr>
          <w:spacing w:val="-3"/>
          <w:sz w:val="21"/>
        </w:rPr>
        <w:t>工程量清单应与合同条款、技术规范等文件结合起来查阅与理解。</w:t>
      </w:r>
    </w:p>
    <w:p>
      <w:pPr>
        <w:pStyle w:val="33"/>
        <w:numPr>
          <w:ilvl w:val="0"/>
          <w:numId w:val="12"/>
        </w:numPr>
        <w:tabs>
          <w:tab w:val="left" w:pos="142"/>
        </w:tabs>
        <w:spacing w:line="276" w:lineRule="auto"/>
        <w:ind w:left="0" w:firstLine="408" w:firstLineChars="200"/>
        <w:rPr>
          <w:spacing w:val="-3"/>
          <w:sz w:val="21"/>
        </w:rPr>
      </w:pPr>
      <w:r>
        <w:rPr>
          <w:spacing w:val="-3"/>
          <w:sz w:val="21"/>
        </w:rPr>
        <w:t>除非合同另有规定，工程量清单中有标价的单价均已包括了为实施和完成合同工程所需的劳务、材料、机械、质检（自检）、安装、管理、保险、税费、利润等费用，以及合同明示或暗示的所有责任、义务和一般风险。</w:t>
      </w:r>
    </w:p>
    <w:p>
      <w:pPr>
        <w:pStyle w:val="33"/>
        <w:numPr>
          <w:ilvl w:val="0"/>
          <w:numId w:val="12"/>
        </w:numPr>
        <w:tabs>
          <w:tab w:val="left" w:pos="142"/>
        </w:tabs>
        <w:spacing w:line="276" w:lineRule="auto"/>
        <w:ind w:left="0" w:firstLine="408" w:firstLineChars="200"/>
        <w:rPr>
          <w:spacing w:val="-3"/>
          <w:sz w:val="21"/>
        </w:rPr>
      </w:pPr>
      <w:r>
        <w:rPr>
          <w:spacing w:val="-3"/>
          <w:sz w:val="21"/>
        </w:rPr>
        <w:t>承包人对用于本合同维修工程的各类装备的提供、运输、维护、拆卸、拼装等支付的费用，已包括在工程量清单的单价之中。</w:t>
      </w:r>
    </w:p>
    <w:p>
      <w:pPr>
        <w:pStyle w:val="33"/>
        <w:numPr>
          <w:ilvl w:val="0"/>
          <w:numId w:val="12"/>
        </w:numPr>
        <w:tabs>
          <w:tab w:val="left" w:pos="142"/>
        </w:tabs>
        <w:spacing w:line="276" w:lineRule="auto"/>
        <w:ind w:left="0" w:firstLine="408" w:firstLineChars="200"/>
        <w:rPr>
          <w:spacing w:val="-3"/>
          <w:sz w:val="21"/>
        </w:rPr>
      </w:pPr>
      <w:r>
        <w:rPr>
          <w:spacing w:val="-3"/>
          <w:sz w:val="21"/>
        </w:rPr>
        <w:t>临时用地由</w:t>
      </w:r>
      <w:r>
        <w:rPr>
          <w:rFonts w:hint="eastAsia"/>
          <w:spacing w:val="-3"/>
          <w:sz w:val="21"/>
        </w:rPr>
        <w:t>报价</w:t>
      </w:r>
      <w:r>
        <w:rPr>
          <w:spacing w:val="-3"/>
          <w:sz w:val="21"/>
        </w:rPr>
        <w:t>人自行考察，其费用摊入报价中，发包人不另行支付。</w:t>
      </w:r>
    </w:p>
    <w:p>
      <w:pPr>
        <w:pStyle w:val="33"/>
        <w:numPr>
          <w:ilvl w:val="0"/>
          <w:numId w:val="12"/>
        </w:numPr>
        <w:tabs>
          <w:tab w:val="left" w:pos="142"/>
        </w:tabs>
        <w:spacing w:line="276" w:lineRule="auto"/>
        <w:ind w:left="0" w:firstLine="408" w:firstLineChars="200"/>
        <w:rPr>
          <w:spacing w:val="-3"/>
          <w:sz w:val="21"/>
        </w:rPr>
      </w:pPr>
      <w:r>
        <w:rPr>
          <w:spacing w:val="-3"/>
          <w:sz w:val="21"/>
        </w:rPr>
        <w:t>承包人必须投保</w:t>
      </w:r>
      <w:r>
        <w:rPr>
          <w:rFonts w:hint="eastAsia"/>
          <w:spacing w:val="-3"/>
          <w:sz w:val="21"/>
        </w:rPr>
        <w:t>，</w:t>
      </w:r>
      <w:r>
        <w:rPr>
          <w:spacing w:val="-3"/>
          <w:sz w:val="21"/>
        </w:rPr>
        <w:t>保险费率由承包人自行确定，发包人不作统一规定，但必须符合国家相关规定。</w:t>
      </w:r>
    </w:p>
    <w:p>
      <w:pPr>
        <w:pStyle w:val="33"/>
        <w:numPr>
          <w:ilvl w:val="0"/>
          <w:numId w:val="12"/>
        </w:numPr>
        <w:tabs>
          <w:tab w:val="left" w:pos="142"/>
        </w:tabs>
        <w:spacing w:line="276" w:lineRule="auto"/>
        <w:ind w:left="0" w:firstLine="408" w:firstLineChars="200"/>
        <w:rPr>
          <w:spacing w:val="-3"/>
          <w:sz w:val="21"/>
        </w:rPr>
      </w:pPr>
      <w:r>
        <w:rPr>
          <w:spacing w:val="-3"/>
          <w:sz w:val="21"/>
        </w:rPr>
        <w:t>第 10</w:t>
      </w:r>
      <w:r>
        <w:rPr>
          <w:rFonts w:hint="eastAsia"/>
          <w:spacing w:val="-3"/>
          <w:sz w:val="21"/>
        </w:rPr>
        <w:t>1</w:t>
      </w:r>
      <w:r>
        <w:rPr>
          <w:spacing w:val="-3"/>
          <w:sz w:val="21"/>
        </w:rPr>
        <w:t xml:space="preserve"> 细目安全生产费为包干项目，包括施工安全防护用具、设施的配置、安全人员、施工标牌、道路封闭标牌、限速标志、交通安全锥等一切 安全保通措施费用</w:t>
      </w:r>
      <w:r>
        <w:rPr>
          <w:rFonts w:hint="eastAsia"/>
          <w:spacing w:val="-3"/>
          <w:sz w:val="21"/>
        </w:rPr>
        <w:t>，</w:t>
      </w:r>
      <w:r>
        <w:rPr>
          <w:spacing w:val="-3"/>
          <w:sz w:val="21"/>
        </w:rPr>
        <w:t>安全费为非竞争性费用</w:t>
      </w:r>
      <w:r>
        <w:rPr>
          <w:rFonts w:hint="eastAsia"/>
          <w:spacing w:val="-3"/>
          <w:sz w:val="21"/>
        </w:rPr>
        <w:t>，</w:t>
      </w:r>
      <w:r>
        <w:rPr>
          <w:spacing w:val="-3"/>
          <w:sz w:val="21"/>
        </w:rPr>
        <w:t>包干使用。第一期计量时全部计量支付</w:t>
      </w:r>
      <w:r>
        <w:rPr>
          <w:rFonts w:hint="eastAsia"/>
          <w:spacing w:val="-3"/>
          <w:sz w:val="21"/>
        </w:rPr>
        <w:t>。</w:t>
      </w:r>
    </w:p>
    <w:p>
      <w:pPr>
        <w:pStyle w:val="33"/>
        <w:numPr>
          <w:ilvl w:val="0"/>
          <w:numId w:val="12"/>
        </w:numPr>
        <w:tabs>
          <w:tab w:val="left" w:pos="142"/>
        </w:tabs>
        <w:spacing w:line="276" w:lineRule="auto"/>
        <w:ind w:left="0" w:firstLine="408" w:firstLineChars="200"/>
        <w:rPr>
          <w:spacing w:val="-3"/>
          <w:sz w:val="21"/>
        </w:rPr>
      </w:pPr>
      <w:r>
        <w:rPr>
          <w:rFonts w:hint="eastAsia"/>
          <w:spacing w:val="-3"/>
          <w:sz w:val="21"/>
        </w:rPr>
        <w:t>201细目包括日常检查、巡查、检测、维护、保养等项目，检查的周期及具体项目均应按照电力规范的有关规定及合同条款的要求进行，若不按规定开展以上工作或检查资料不真实，弄虚作假，业主将处以罚款并按照比例扣取相应费用。</w:t>
      </w:r>
    </w:p>
    <w:p>
      <w:pPr>
        <w:pStyle w:val="33"/>
        <w:tabs>
          <w:tab w:val="left" w:pos="142"/>
        </w:tabs>
        <w:spacing w:line="276" w:lineRule="auto"/>
        <w:ind w:left="0" w:firstLineChars="200"/>
        <w:rPr>
          <w:sz w:val="21"/>
        </w:rPr>
      </w:pPr>
      <w:r>
        <w:rPr>
          <w:rFonts w:hint="eastAsia"/>
          <w:sz w:val="21"/>
        </w:rPr>
        <w:t>该项目单价包含：</w:t>
      </w:r>
    </w:p>
    <w:p>
      <w:pPr>
        <w:pStyle w:val="33"/>
        <w:tabs>
          <w:tab w:val="left" w:pos="142"/>
        </w:tabs>
        <w:spacing w:line="276" w:lineRule="auto"/>
        <w:ind w:left="0" w:firstLineChars="200"/>
        <w:rPr>
          <w:sz w:val="21"/>
        </w:rPr>
      </w:pPr>
      <w:r>
        <w:rPr>
          <w:rFonts w:hint="eastAsia"/>
          <w:sz w:val="21"/>
        </w:rPr>
        <w:t>（1）日常检查、定期检查、检测、维护、保养的所有人工、机械、零星材料费用、税金等；</w:t>
      </w:r>
    </w:p>
    <w:p>
      <w:pPr>
        <w:pStyle w:val="33"/>
        <w:tabs>
          <w:tab w:val="left" w:pos="142"/>
        </w:tabs>
        <w:spacing w:line="276" w:lineRule="auto"/>
        <w:ind w:left="0" w:firstLineChars="200"/>
        <w:rPr>
          <w:sz w:val="21"/>
        </w:rPr>
      </w:pPr>
      <w:r>
        <w:rPr>
          <w:rFonts w:hint="eastAsia"/>
          <w:sz w:val="21"/>
        </w:rPr>
        <w:t>（2）线路消缺清障（砍伐乔木等）的青苗补偿费用和砍伐清理费用及更换的线路配件的材料及安装费。线路配件有钢芯铝绞线（型号：50、90、95、120、150、185、240）、避雷器、熔断器、隔离开关、真空断路器（带隔离）、真空断路器（不带隔离）、瓷瓶(碟式、针式)、横单（1M，63角钢）、悬坠线夹、耐张线夹（2型、3型）、计量装置（含组合互感器）、拉线及其余</w:t>
      </w:r>
      <w:r>
        <w:rPr>
          <w:sz w:val="21"/>
        </w:rPr>
        <w:t xml:space="preserve">采购的易损易耗材料单价未超过人民币 </w:t>
      </w:r>
      <w:r>
        <w:rPr>
          <w:rFonts w:hint="eastAsia"/>
          <w:sz w:val="21"/>
        </w:rPr>
        <w:t>5</w:t>
      </w:r>
      <w:r>
        <w:rPr>
          <w:sz w:val="21"/>
        </w:rPr>
        <w:t xml:space="preserve">00 元的，其材料、人工、安装等费用均包含在日常维护费中，不单独报价。材料单价超过 </w:t>
      </w:r>
      <w:r>
        <w:rPr>
          <w:rFonts w:hint="eastAsia"/>
          <w:sz w:val="21"/>
        </w:rPr>
        <w:t>5</w:t>
      </w:r>
      <w:r>
        <w:rPr>
          <w:sz w:val="21"/>
        </w:rPr>
        <w:t>00 元的，按两种情形结算：</w:t>
      </w:r>
    </w:p>
    <w:p>
      <w:pPr>
        <w:pStyle w:val="33"/>
        <w:tabs>
          <w:tab w:val="left" w:pos="142"/>
        </w:tabs>
        <w:spacing w:line="276" w:lineRule="auto"/>
        <w:ind w:left="0" w:firstLineChars="200"/>
        <w:rPr>
          <w:sz w:val="21"/>
        </w:rPr>
      </w:pPr>
      <w:r>
        <w:rPr>
          <w:rFonts w:hint="eastAsia"/>
          <w:sz w:val="21"/>
        </w:rPr>
        <w:t>a.</w:t>
      </w:r>
      <w:r>
        <w:rPr>
          <w:sz w:val="21"/>
        </w:rPr>
        <w:t>对于未列入《材料采购清单限价表》的，承包人采购清单及单价经发包人审核后实施，材料费用据实支付。</w:t>
      </w:r>
    </w:p>
    <w:p>
      <w:pPr>
        <w:pStyle w:val="33"/>
        <w:tabs>
          <w:tab w:val="left" w:pos="142"/>
        </w:tabs>
        <w:spacing w:line="276" w:lineRule="auto"/>
        <w:ind w:left="0" w:firstLineChars="200"/>
        <w:rPr>
          <w:spacing w:val="-3"/>
          <w:sz w:val="21"/>
        </w:rPr>
      </w:pPr>
      <w:r>
        <w:rPr>
          <w:rFonts w:hint="eastAsia"/>
          <w:sz w:val="21"/>
        </w:rPr>
        <w:t>b.</w:t>
      </w:r>
      <w:r>
        <w:rPr>
          <w:sz w:val="21"/>
        </w:rPr>
        <w:t>列入《材料采购清单限价表》的，材料结算单价</w:t>
      </w:r>
      <w:r>
        <w:rPr>
          <w:rFonts w:eastAsia="Times New Roman"/>
          <w:sz w:val="21"/>
        </w:rPr>
        <w:t>=</w:t>
      </w:r>
      <w:r>
        <w:rPr>
          <w:sz w:val="21"/>
        </w:rPr>
        <w:t>发包人材料单价限价×</w:t>
      </w:r>
      <w:r>
        <w:rPr>
          <w:rFonts w:hint="eastAsia"/>
          <w:sz w:val="21"/>
          <w:lang w:eastAsia="zh-Hans"/>
        </w:rPr>
        <w:t>报价比例</w:t>
      </w:r>
      <w:r>
        <w:rPr>
          <w:sz w:val="21"/>
        </w:rPr>
        <w:t>，数量据实计量。更换</w:t>
      </w:r>
      <w:r>
        <w:rPr>
          <w:spacing w:val="-3"/>
          <w:sz w:val="21"/>
        </w:rPr>
        <w:t>设施设备及配件的人工、</w:t>
      </w:r>
      <w:r>
        <w:rPr>
          <w:rFonts w:hint="eastAsia"/>
          <w:spacing w:val="-3"/>
          <w:sz w:val="21"/>
        </w:rPr>
        <w:t>运输、</w:t>
      </w:r>
      <w:r>
        <w:rPr>
          <w:spacing w:val="-3"/>
          <w:sz w:val="21"/>
        </w:rPr>
        <w:t>安装</w:t>
      </w:r>
      <w:r>
        <w:rPr>
          <w:rFonts w:hint="eastAsia"/>
          <w:spacing w:val="-3"/>
          <w:sz w:val="21"/>
        </w:rPr>
        <w:t>、调试</w:t>
      </w:r>
      <w:r>
        <w:rPr>
          <w:spacing w:val="-3"/>
          <w:sz w:val="21"/>
        </w:rPr>
        <w:t>等费用由承包人</w:t>
      </w:r>
      <w:r>
        <w:rPr>
          <w:rFonts w:hint="eastAsia"/>
          <w:spacing w:val="-3"/>
          <w:sz w:val="21"/>
        </w:rPr>
        <w:t>自行</w:t>
      </w:r>
      <w:r>
        <w:rPr>
          <w:spacing w:val="-3"/>
          <w:sz w:val="21"/>
        </w:rPr>
        <w:t>承担，不</w:t>
      </w:r>
      <w:r>
        <w:rPr>
          <w:rFonts w:hint="eastAsia"/>
          <w:spacing w:val="-3"/>
          <w:sz w:val="21"/>
        </w:rPr>
        <w:t>另行计费</w:t>
      </w:r>
      <w:r>
        <w:rPr>
          <w:spacing w:val="-3"/>
          <w:sz w:val="21"/>
        </w:rPr>
        <w:t>。</w:t>
      </w:r>
    </w:p>
    <w:p>
      <w:pPr>
        <w:pStyle w:val="33"/>
        <w:numPr>
          <w:ilvl w:val="0"/>
          <w:numId w:val="12"/>
        </w:numPr>
        <w:tabs>
          <w:tab w:val="left" w:pos="142"/>
        </w:tabs>
        <w:spacing w:line="276" w:lineRule="auto"/>
        <w:ind w:left="0" w:firstLine="408" w:firstLineChars="200"/>
        <w:rPr>
          <w:spacing w:val="-3"/>
          <w:sz w:val="21"/>
        </w:rPr>
      </w:pPr>
      <w:r>
        <w:rPr>
          <w:spacing w:val="-3"/>
          <w:sz w:val="21"/>
        </w:rPr>
        <w:t>第 202 细目为变电站（房）巡检费，按照相关法规要求配备人员巡检变电站（所），巡检时段及次数、配备人员应符合技术规范的规定，并按规定对变电站（所）设备进行维护</w:t>
      </w:r>
      <w:r>
        <w:rPr>
          <w:rFonts w:hint="eastAsia"/>
          <w:spacing w:val="-3"/>
          <w:sz w:val="21"/>
        </w:rPr>
        <w:t>，</w:t>
      </w:r>
      <w:r>
        <w:rPr>
          <w:spacing w:val="-3"/>
          <w:sz w:val="21"/>
        </w:rPr>
        <w:t>按月计量按季度支付。</w:t>
      </w:r>
    </w:p>
    <w:p>
      <w:pPr>
        <w:pStyle w:val="33"/>
        <w:numPr>
          <w:ilvl w:val="0"/>
          <w:numId w:val="12"/>
        </w:numPr>
        <w:tabs>
          <w:tab w:val="left" w:pos="142"/>
        </w:tabs>
        <w:spacing w:line="276" w:lineRule="auto"/>
        <w:ind w:left="0" w:firstLine="408" w:firstLineChars="200"/>
        <w:rPr>
          <w:spacing w:val="-3"/>
          <w:sz w:val="21"/>
        </w:rPr>
      </w:pPr>
      <w:r>
        <w:rPr>
          <w:spacing w:val="-3"/>
          <w:sz w:val="21"/>
        </w:rPr>
        <w:t>第 203 细目线路清障，对影响电力线路正常运行的沿线的乔木、灌木杂草、倾倒物、土石等障碍物进行清理、砍伐以及必要的赔付（如有）而产生的所有费用，</w:t>
      </w:r>
      <w:r>
        <w:rPr>
          <w:rFonts w:hint="eastAsia"/>
          <w:spacing w:val="-3"/>
          <w:sz w:val="21"/>
        </w:rPr>
        <w:t>不再</w:t>
      </w:r>
      <w:r>
        <w:rPr>
          <w:spacing w:val="-3"/>
          <w:sz w:val="21"/>
        </w:rPr>
        <w:t>单独报价。</w:t>
      </w:r>
    </w:p>
    <w:p>
      <w:pPr>
        <w:pStyle w:val="33"/>
        <w:numPr>
          <w:ilvl w:val="0"/>
          <w:numId w:val="12"/>
        </w:numPr>
        <w:tabs>
          <w:tab w:val="left" w:pos="142"/>
        </w:tabs>
        <w:spacing w:line="276" w:lineRule="auto"/>
        <w:ind w:left="0" w:firstLine="408" w:firstLineChars="200"/>
        <w:rPr>
          <w:spacing w:val="-3"/>
          <w:sz w:val="21"/>
        </w:rPr>
      </w:pPr>
      <w:r>
        <w:rPr>
          <w:rFonts w:hint="eastAsia"/>
          <w:spacing w:val="-3"/>
          <w:sz w:val="21"/>
        </w:rPr>
        <w:t>第</w:t>
      </w:r>
      <w:r>
        <w:rPr>
          <w:spacing w:val="-3"/>
          <w:sz w:val="21"/>
        </w:rPr>
        <w:t>204</w:t>
      </w:r>
      <w:r>
        <w:rPr>
          <w:rFonts w:hint="eastAsia"/>
          <w:spacing w:val="-3"/>
          <w:sz w:val="21"/>
        </w:rPr>
        <w:t>细目</w:t>
      </w:r>
      <w:r>
        <w:rPr>
          <w:spacing w:val="-3"/>
          <w:sz w:val="21"/>
        </w:rPr>
        <w:t>，</w:t>
      </w:r>
      <w:r>
        <w:rPr>
          <w:rFonts w:hint="eastAsia"/>
          <w:spacing w:val="-3"/>
          <w:sz w:val="21"/>
        </w:rPr>
        <w:t>车辆通行费为</w:t>
      </w:r>
      <w:r>
        <w:rPr>
          <w:spacing w:val="-3"/>
          <w:sz w:val="21"/>
        </w:rPr>
        <w:t>为包干项目，包括施工</w:t>
      </w:r>
      <w:r>
        <w:rPr>
          <w:rFonts w:hint="eastAsia"/>
          <w:spacing w:val="-3"/>
          <w:sz w:val="21"/>
        </w:rPr>
        <w:t>期间发生的一切通行相关费用，按照季度计量支付</w:t>
      </w:r>
      <w:r>
        <w:rPr>
          <w:spacing w:val="-3"/>
          <w:sz w:val="21"/>
        </w:rPr>
        <w:t>。</w:t>
      </w:r>
    </w:p>
    <w:p>
      <w:pPr>
        <w:pStyle w:val="33"/>
        <w:numPr>
          <w:ilvl w:val="0"/>
          <w:numId w:val="12"/>
        </w:numPr>
        <w:tabs>
          <w:tab w:val="left" w:pos="142"/>
        </w:tabs>
        <w:spacing w:line="276" w:lineRule="auto"/>
        <w:ind w:left="0" w:firstLine="408" w:firstLineChars="200"/>
        <w:rPr>
          <w:spacing w:val="-3"/>
          <w:sz w:val="21"/>
        </w:rPr>
      </w:pPr>
      <w:r>
        <w:rPr>
          <w:spacing w:val="-3"/>
          <w:sz w:val="21"/>
        </w:rPr>
        <w:t>承包人须开展设施设备年度预试验检测</w:t>
      </w:r>
      <w:r>
        <w:rPr>
          <w:rFonts w:hint="eastAsia"/>
          <w:spacing w:val="-3"/>
          <w:sz w:val="21"/>
        </w:rPr>
        <w:t>，</w:t>
      </w:r>
      <w:r>
        <w:rPr>
          <w:spacing w:val="-3"/>
          <w:sz w:val="21"/>
        </w:rPr>
        <w:t>检测费包含在其他细目中</w:t>
      </w:r>
      <w:r>
        <w:rPr>
          <w:rFonts w:hint="eastAsia"/>
          <w:spacing w:val="-3"/>
          <w:sz w:val="21"/>
        </w:rPr>
        <w:t>，</w:t>
      </w:r>
      <w:r>
        <w:rPr>
          <w:spacing w:val="-3"/>
          <w:sz w:val="21"/>
        </w:rPr>
        <w:t>不单独报价</w:t>
      </w:r>
      <w:r>
        <w:rPr>
          <w:rFonts w:hint="eastAsia"/>
          <w:spacing w:val="-3"/>
          <w:sz w:val="21"/>
        </w:rPr>
        <w:t>。</w:t>
      </w:r>
      <w:r>
        <w:rPr>
          <w:spacing w:val="-3"/>
          <w:sz w:val="21"/>
        </w:rPr>
        <w:t>为了维护专用设备或线路需要委托相关专业机构进行的特殊检测而发生的第三方检测费在工程量清单中，</w:t>
      </w:r>
      <w:r>
        <w:rPr>
          <w:rFonts w:hint="eastAsia"/>
          <w:spacing w:val="-3"/>
          <w:sz w:val="21"/>
        </w:rPr>
        <w:t>发包人</w:t>
      </w:r>
      <w:r>
        <w:rPr>
          <w:spacing w:val="-3"/>
          <w:sz w:val="21"/>
        </w:rPr>
        <w:t>不再另行支付。</w:t>
      </w:r>
    </w:p>
    <w:p>
      <w:pPr>
        <w:pStyle w:val="33"/>
        <w:numPr>
          <w:ilvl w:val="0"/>
          <w:numId w:val="12"/>
        </w:numPr>
        <w:tabs>
          <w:tab w:val="left" w:pos="142"/>
        </w:tabs>
        <w:spacing w:line="276" w:lineRule="auto"/>
        <w:ind w:left="0" w:firstLine="408" w:firstLineChars="200"/>
        <w:rPr>
          <w:spacing w:val="-3"/>
          <w:sz w:val="21"/>
        </w:rPr>
      </w:pPr>
      <w:r>
        <w:rPr>
          <w:rFonts w:hint="eastAsia"/>
          <w:spacing w:val="-3"/>
          <w:sz w:val="21"/>
        </w:rPr>
        <w:t>承包人在提交计量支付申请时，应同时提交计量周期内完整的维护记录报告等资料作为计量支付的附件。</w:t>
      </w:r>
    </w:p>
    <w:p>
      <w:pPr>
        <w:rPr>
          <w:spacing w:val="-3"/>
          <w:sz w:val="21"/>
        </w:rPr>
      </w:pPr>
      <w:r>
        <w:rPr>
          <w:rFonts w:hint="eastAsia"/>
          <w:spacing w:val="-3"/>
          <w:sz w:val="21"/>
        </w:rPr>
        <w:br w:type="page"/>
      </w:r>
    </w:p>
    <w:p>
      <w:pPr>
        <w:spacing w:before="39"/>
        <w:ind w:left="441"/>
        <w:jc w:val="center"/>
        <w:rPr>
          <w:rFonts w:ascii="方正小标宋简体" w:hAnsi="方正小标宋简体" w:eastAsia="方正小标宋简体" w:cs="方正小标宋简体"/>
          <w:sz w:val="40"/>
          <w:szCs w:val="40"/>
        </w:rPr>
      </w:pPr>
      <w:r>
        <w:rPr>
          <w:rFonts w:hint="eastAsia"/>
          <w:b/>
          <w:sz w:val="24"/>
        </w:rPr>
        <w:t>服务项目及要求</w:t>
      </w:r>
    </w:p>
    <w:p>
      <w:pPr>
        <w:spacing w:line="560" w:lineRule="exact"/>
        <w:rPr>
          <w:rFonts w:ascii="宋体" w:hAnsi="宋体" w:eastAsia="宋体" w:cs="宋体"/>
          <w:b/>
          <w:sz w:val="28"/>
          <w:szCs w:val="28"/>
        </w:rPr>
      </w:pPr>
      <w:r>
        <w:rPr>
          <w:rFonts w:hint="eastAsia"/>
          <w:spacing w:val="-3"/>
          <w:sz w:val="21"/>
        </w:rPr>
        <w:t>一、预防性试验项目（每年一次）：</w:t>
      </w:r>
    </w:p>
    <w:p>
      <w:pPr>
        <w:spacing w:line="560" w:lineRule="exact"/>
        <w:ind w:firstLine="408" w:firstLineChars="200"/>
        <w:rPr>
          <w:spacing w:val="-3"/>
          <w:sz w:val="21"/>
        </w:rPr>
      </w:pPr>
      <w:r>
        <w:rPr>
          <w:rFonts w:hint="eastAsia"/>
          <w:spacing w:val="-3"/>
          <w:sz w:val="21"/>
        </w:rPr>
        <w:t>1、变压器系统：</w:t>
      </w:r>
    </w:p>
    <w:p>
      <w:pPr>
        <w:spacing w:line="560" w:lineRule="exact"/>
        <w:ind w:firstLine="408" w:firstLineChars="200"/>
        <w:rPr>
          <w:spacing w:val="-3"/>
          <w:sz w:val="21"/>
        </w:rPr>
      </w:pPr>
      <w:r>
        <w:rPr>
          <w:rFonts w:hint="eastAsia"/>
          <w:spacing w:val="-3"/>
          <w:sz w:val="21"/>
        </w:rPr>
        <w:t>外观检查；测量绕组各档直流电阻；测量绕组各档电压比；</w:t>
      </w:r>
    </w:p>
    <w:p>
      <w:pPr>
        <w:spacing w:line="560" w:lineRule="exact"/>
        <w:ind w:firstLine="408" w:firstLineChars="200"/>
        <w:rPr>
          <w:spacing w:val="-3"/>
          <w:sz w:val="21"/>
        </w:rPr>
      </w:pPr>
      <w:r>
        <w:rPr>
          <w:rFonts w:hint="eastAsia"/>
          <w:spacing w:val="-3"/>
          <w:sz w:val="21"/>
        </w:rPr>
        <w:t>极性和组别检查；测量绕组绝缘电阻；交流耐压试验。</w:t>
      </w:r>
    </w:p>
    <w:p>
      <w:pPr>
        <w:spacing w:line="560" w:lineRule="exact"/>
        <w:ind w:firstLine="408" w:firstLineChars="200"/>
        <w:rPr>
          <w:spacing w:val="-3"/>
          <w:sz w:val="21"/>
        </w:rPr>
      </w:pPr>
      <w:r>
        <w:rPr>
          <w:rFonts w:hint="eastAsia"/>
          <w:spacing w:val="-3"/>
          <w:sz w:val="21"/>
        </w:rPr>
        <w:t>2、高压断路器系统：</w:t>
      </w:r>
    </w:p>
    <w:p>
      <w:pPr>
        <w:spacing w:line="560" w:lineRule="exact"/>
        <w:ind w:firstLine="408" w:firstLineChars="200"/>
        <w:rPr>
          <w:spacing w:val="-3"/>
          <w:sz w:val="21"/>
        </w:rPr>
      </w:pPr>
      <w:r>
        <w:rPr>
          <w:rFonts w:hint="eastAsia"/>
          <w:spacing w:val="-3"/>
          <w:sz w:val="21"/>
        </w:rPr>
        <w:t>断路器：测量导电回路直流电阻；测量断路器固有分合闸时间；测量三相主触头分、合同期性；测量合闸时触头弹跳时间；测量绝缘电阻；交流耐压试验。</w:t>
      </w:r>
    </w:p>
    <w:p>
      <w:pPr>
        <w:spacing w:line="560" w:lineRule="exact"/>
        <w:ind w:firstLine="408" w:firstLineChars="200"/>
        <w:rPr>
          <w:spacing w:val="-3"/>
          <w:sz w:val="21"/>
        </w:rPr>
      </w:pPr>
      <w:r>
        <w:rPr>
          <w:rFonts w:hint="eastAsia"/>
          <w:spacing w:val="-3"/>
          <w:sz w:val="21"/>
        </w:rPr>
        <w:t>电流互感器：外观检查；测量绝缘电阻；变比校核；极性检查；交流耐压试验。</w:t>
      </w:r>
    </w:p>
    <w:p>
      <w:pPr>
        <w:spacing w:line="560" w:lineRule="exact"/>
        <w:ind w:firstLine="408" w:firstLineChars="200"/>
        <w:rPr>
          <w:spacing w:val="-3"/>
          <w:sz w:val="21"/>
        </w:rPr>
      </w:pPr>
      <w:r>
        <w:rPr>
          <w:rFonts w:hint="eastAsia"/>
          <w:spacing w:val="-3"/>
          <w:sz w:val="21"/>
        </w:rPr>
        <w:t>电压互感器：外观检查；测量绝缘电阻；变比校核；极性检查；测量一次绕组直流电阻；交流耐压试验。</w:t>
      </w:r>
    </w:p>
    <w:p>
      <w:pPr>
        <w:spacing w:line="560" w:lineRule="exact"/>
        <w:ind w:firstLine="408" w:firstLineChars="200"/>
        <w:rPr>
          <w:spacing w:val="-3"/>
          <w:sz w:val="21"/>
        </w:rPr>
      </w:pPr>
      <w:r>
        <w:rPr>
          <w:rFonts w:hint="eastAsia"/>
          <w:spacing w:val="-3"/>
          <w:sz w:val="21"/>
        </w:rPr>
        <w:t>避雷器：测量绝缘电阻；测量直流1mA下的耐压及75%该电压下的泄漏电流。</w:t>
      </w:r>
    </w:p>
    <w:p>
      <w:pPr>
        <w:spacing w:line="560" w:lineRule="exact"/>
        <w:ind w:firstLine="408" w:firstLineChars="200"/>
        <w:rPr>
          <w:spacing w:val="-3"/>
          <w:sz w:val="21"/>
        </w:rPr>
      </w:pPr>
      <w:r>
        <w:rPr>
          <w:rFonts w:hint="eastAsia"/>
          <w:spacing w:val="-3"/>
          <w:sz w:val="21"/>
        </w:rPr>
        <w:t>保护装置：检查装置可动部分及元件动作良好，其间隙、串动范围及动作行程应符合规定；接点无烧损，动作灵活，接点接触与返回均可靠；端子排的连线应接触可靠；各回路对地、回路间绝缘电阻测量；保护装置整组试验。</w:t>
      </w:r>
    </w:p>
    <w:p>
      <w:pPr>
        <w:spacing w:line="560" w:lineRule="exact"/>
        <w:ind w:firstLine="408" w:firstLineChars="200"/>
        <w:rPr>
          <w:spacing w:val="-3"/>
          <w:sz w:val="21"/>
        </w:rPr>
      </w:pPr>
      <w:r>
        <w:rPr>
          <w:rFonts w:hint="eastAsia"/>
          <w:spacing w:val="-3"/>
          <w:sz w:val="21"/>
        </w:rPr>
        <w:t>母线系统：测量绝缘电阻；交流耐压试验。</w:t>
      </w:r>
    </w:p>
    <w:p>
      <w:pPr>
        <w:spacing w:line="560" w:lineRule="exact"/>
        <w:ind w:firstLine="408" w:firstLineChars="200"/>
        <w:rPr>
          <w:spacing w:val="-3"/>
          <w:sz w:val="21"/>
        </w:rPr>
      </w:pPr>
      <w:r>
        <w:rPr>
          <w:rFonts w:hint="eastAsia"/>
          <w:spacing w:val="-3"/>
          <w:sz w:val="21"/>
        </w:rPr>
        <w:t>4、直流系统：蓄电池充放电试验、直流成套装置年检、UPS设备检查与维护、基本维护。</w:t>
      </w:r>
    </w:p>
    <w:p>
      <w:pPr>
        <w:spacing w:line="560" w:lineRule="exact"/>
        <w:ind w:firstLine="408" w:firstLineChars="200"/>
        <w:rPr>
          <w:spacing w:val="-3"/>
          <w:sz w:val="21"/>
        </w:rPr>
      </w:pPr>
      <w:r>
        <w:rPr>
          <w:rFonts w:hint="eastAsia"/>
          <w:spacing w:val="-3"/>
          <w:sz w:val="21"/>
        </w:rPr>
        <w:t>5、电容补偿系统：消除运行中发现的缺陷；清洁操作机构、触头；检查操作机构及触头良好，紧固各连接螺栓；测量绝缘电阻；测量电容容量；检查交流接触器等动作情况；电容补偿系统整组试验；交流耐压试验。</w:t>
      </w:r>
    </w:p>
    <w:p>
      <w:pPr>
        <w:spacing w:line="560" w:lineRule="exact"/>
        <w:ind w:firstLine="408" w:firstLineChars="200"/>
        <w:rPr>
          <w:spacing w:val="-3"/>
          <w:sz w:val="21"/>
        </w:rPr>
      </w:pPr>
      <w:r>
        <w:rPr>
          <w:rFonts w:hint="eastAsia"/>
          <w:spacing w:val="-3"/>
          <w:sz w:val="21"/>
        </w:rPr>
        <w:t>6、低压配电系统：消除运行中发现的缺陷；清洁操作机构、触头；检查操作机构及触头良好，紧固各连接螺栓；测量绝缘电阻；交流耐压试验。</w:t>
      </w:r>
    </w:p>
    <w:p>
      <w:pPr>
        <w:spacing w:line="560" w:lineRule="exact"/>
        <w:ind w:firstLine="408" w:firstLineChars="200"/>
        <w:rPr>
          <w:spacing w:val="-3"/>
          <w:sz w:val="21"/>
        </w:rPr>
      </w:pPr>
      <w:r>
        <w:rPr>
          <w:rFonts w:hint="eastAsia"/>
          <w:spacing w:val="-3"/>
          <w:sz w:val="21"/>
        </w:rPr>
        <w:t>7、高压出线电缆：测量绝缘电阻；直流耐压试验并测量泄漏电流。</w:t>
      </w:r>
    </w:p>
    <w:p>
      <w:pPr>
        <w:spacing w:line="560" w:lineRule="exact"/>
        <w:rPr>
          <w:spacing w:val="-3"/>
          <w:sz w:val="21"/>
        </w:rPr>
      </w:pPr>
      <w:r>
        <w:rPr>
          <w:rFonts w:hint="eastAsia"/>
          <w:spacing w:val="-3"/>
          <w:sz w:val="21"/>
        </w:rPr>
        <w:t>二、维护项目：</w:t>
      </w:r>
    </w:p>
    <w:p>
      <w:pPr>
        <w:spacing w:line="560" w:lineRule="exact"/>
        <w:ind w:firstLine="408" w:firstLineChars="200"/>
        <w:rPr>
          <w:spacing w:val="-3"/>
          <w:sz w:val="21"/>
        </w:rPr>
      </w:pPr>
      <w:r>
        <w:rPr>
          <w:rFonts w:hint="eastAsia"/>
          <w:spacing w:val="-3"/>
          <w:sz w:val="21"/>
        </w:rPr>
        <w:t>1、资料装订：</w:t>
      </w:r>
    </w:p>
    <w:p>
      <w:pPr>
        <w:spacing w:line="560" w:lineRule="exact"/>
        <w:ind w:firstLine="408" w:firstLineChars="200"/>
        <w:rPr>
          <w:spacing w:val="-3"/>
          <w:sz w:val="21"/>
        </w:rPr>
      </w:pPr>
      <w:r>
        <w:rPr>
          <w:rFonts w:hint="eastAsia"/>
          <w:spacing w:val="-3"/>
          <w:sz w:val="21"/>
        </w:rPr>
        <w:t>（1）对于上述所有维修保养都应清晰、完整、规范地记录在《线路配电设备维护保养记录表》内，每次维修保养后3天内交各管理处进行归档，长期保存。半年进行汇总装订交收费管理部进行归档保存。</w:t>
      </w:r>
    </w:p>
    <w:p>
      <w:pPr>
        <w:spacing w:line="560" w:lineRule="exact"/>
        <w:ind w:firstLine="408" w:firstLineChars="200"/>
        <w:rPr>
          <w:spacing w:val="-3"/>
          <w:sz w:val="21"/>
        </w:rPr>
      </w:pPr>
      <w:r>
        <w:rPr>
          <w:rFonts w:hint="eastAsia"/>
          <w:spacing w:val="-3"/>
          <w:sz w:val="21"/>
        </w:rPr>
        <w:t>（2）绘制全线高低压供配电线路图（含专线线路至高压配电柜）、收费站、隧道高压供配电接线图，并清点各节点的高低压设施设备清单。（含品牌、型号、数量）</w:t>
      </w:r>
    </w:p>
    <w:p>
      <w:pPr>
        <w:spacing w:line="560" w:lineRule="exact"/>
        <w:ind w:firstLine="408" w:firstLineChars="200"/>
        <w:rPr>
          <w:spacing w:val="-3"/>
          <w:sz w:val="21"/>
        </w:rPr>
      </w:pPr>
      <w:r>
        <w:rPr>
          <w:rFonts w:hint="eastAsia"/>
          <w:spacing w:val="-3"/>
          <w:sz w:val="21"/>
        </w:rPr>
        <w:t>高压线路：</w:t>
      </w:r>
    </w:p>
    <w:p>
      <w:pPr>
        <w:spacing w:line="560" w:lineRule="exact"/>
        <w:ind w:firstLine="408" w:firstLineChars="200"/>
        <w:rPr>
          <w:spacing w:val="-3"/>
          <w:sz w:val="21"/>
        </w:rPr>
      </w:pPr>
      <w:r>
        <w:rPr>
          <w:rFonts w:hint="eastAsia"/>
          <w:spacing w:val="-3"/>
          <w:sz w:val="21"/>
        </w:rPr>
        <w:t>对全线线路进行日常巡查（每月一次）；</w:t>
      </w:r>
    </w:p>
    <w:p>
      <w:pPr>
        <w:spacing w:line="560" w:lineRule="exact"/>
        <w:ind w:firstLine="408" w:firstLineChars="200"/>
        <w:rPr>
          <w:spacing w:val="-3"/>
          <w:sz w:val="21"/>
        </w:rPr>
      </w:pPr>
      <w:r>
        <w:rPr>
          <w:rFonts w:hint="eastAsia"/>
          <w:spacing w:val="-3"/>
          <w:sz w:val="21"/>
        </w:rPr>
        <w:t>3、变压器系统：</w:t>
      </w:r>
    </w:p>
    <w:p>
      <w:pPr>
        <w:spacing w:line="560" w:lineRule="exact"/>
        <w:ind w:firstLine="408" w:firstLineChars="200"/>
        <w:rPr>
          <w:spacing w:val="-3"/>
          <w:sz w:val="21"/>
        </w:rPr>
      </w:pPr>
      <w:r>
        <w:rPr>
          <w:rFonts w:hint="eastAsia"/>
          <w:spacing w:val="-3"/>
          <w:sz w:val="21"/>
        </w:rPr>
        <w:t>（1）检查壳体及油阀是否漏油，散热管油循环是否良好，并解决（每月一次）；</w:t>
      </w:r>
    </w:p>
    <w:p>
      <w:pPr>
        <w:spacing w:line="560" w:lineRule="exact"/>
        <w:ind w:firstLine="408" w:firstLineChars="200"/>
        <w:rPr>
          <w:spacing w:val="-3"/>
          <w:sz w:val="21"/>
        </w:rPr>
      </w:pPr>
      <w:r>
        <w:rPr>
          <w:rFonts w:hint="eastAsia"/>
          <w:spacing w:val="-3"/>
          <w:sz w:val="21"/>
        </w:rPr>
        <w:t>（2）检查变压器的油温是否正常，油量是否适当，油色是否良好，必要时对油样做简化试验，补加变压器油（每季度一次）；</w:t>
      </w:r>
    </w:p>
    <w:p>
      <w:pPr>
        <w:spacing w:line="560" w:lineRule="exact"/>
        <w:ind w:firstLine="408" w:firstLineChars="200"/>
        <w:rPr>
          <w:spacing w:val="-3"/>
          <w:sz w:val="21"/>
        </w:rPr>
      </w:pPr>
      <w:r>
        <w:rPr>
          <w:rFonts w:hint="eastAsia"/>
          <w:spacing w:val="-3"/>
          <w:sz w:val="21"/>
        </w:rPr>
        <w:t>（3）擦拭瓷瓶及瓷套管，检查有无裂损及闪络痕迹（每月一次）；</w:t>
      </w:r>
    </w:p>
    <w:p>
      <w:pPr>
        <w:spacing w:line="560" w:lineRule="exact"/>
        <w:ind w:firstLine="408" w:firstLineChars="200"/>
        <w:rPr>
          <w:spacing w:val="-3"/>
          <w:sz w:val="21"/>
        </w:rPr>
      </w:pPr>
      <w:r>
        <w:rPr>
          <w:rFonts w:hint="eastAsia"/>
          <w:spacing w:val="-3"/>
          <w:sz w:val="21"/>
        </w:rPr>
        <w:t>（4）消除接线头及导电连接的松动、过热现象（每月一次）；</w:t>
      </w:r>
    </w:p>
    <w:p>
      <w:pPr>
        <w:spacing w:line="560" w:lineRule="exact"/>
        <w:ind w:firstLine="408" w:firstLineChars="200"/>
        <w:rPr>
          <w:spacing w:val="-3"/>
          <w:sz w:val="21"/>
        </w:rPr>
      </w:pPr>
      <w:r>
        <w:rPr>
          <w:rFonts w:hint="eastAsia"/>
          <w:spacing w:val="-3"/>
          <w:sz w:val="21"/>
        </w:rPr>
        <w:t>（5）检查并消除接地线的断股、松动及锈蚀现象（每月一次）；</w:t>
      </w:r>
    </w:p>
    <w:p>
      <w:pPr>
        <w:spacing w:line="560" w:lineRule="exact"/>
        <w:ind w:firstLine="408" w:firstLineChars="200"/>
        <w:rPr>
          <w:spacing w:val="-3"/>
          <w:sz w:val="21"/>
        </w:rPr>
      </w:pPr>
      <w:r>
        <w:rPr>
          <w:rFonts w:hint="eastAsia"/>
          <w:spacing w:val="-3"/>
          <w:sz w:val="21"/>
        </w:rPr>
        <w:t>（6）检查呼吸器，必要时更换干燥剂（每季度一次）；</w:t>
      </w:r>
    </w:p>
    <w:p>
      <w:pPr>
        <w:spacing w:line="560" w:lineRule="exact"/>
        <w:ind w:firstLine="408" w:firstLineChars="200"/>
        <w:rPr>
          <w:spacing w:val="-3"/>
          <w:sz w:val="21"/>
        </w:rPr>
      </w:pPr>
      <w:r>
        <w:rPr>
          <w:rFonts w:hint="eastAsia"/>
          <w:spacing w:val="-3"/>
          <w:sz w:val="21"/>
        </w:rPr>
        <w:t>（7）检查有载调压开关装置的接线端子排是否完好，控制开关是否可靠，调压开关有无杂声，油质是否正常（每月一次）；</w:t>
      </w:r>
    </w:p>
    <w:p>
      <w:pPr>
        <w:spacing w:line="560" w:lineRule="exact"/>
        <w:ind w:firstLine="408" w:firstLineChars="200"/>
        <w:rPr>
          <w:spacing w:val="-3"/>
          <w:sz w:val="21"/>
        </w:rPr>
      </w:pPr>
      <w:r>
        <w:rPr>
          <w:rFonts w:hint="eastAsia"/>
          <w:spacing w:val="-3"/>
          <w:sz w:val="21"/>
        </w:rPr>
        <w:t>（8）检查电缆头有无过热及闪络现象（每月一次）；</w:t>
      </w:r>
    </w:p>
    <w:p>
      <w:pPr>
        <w:spacing w:line="560" w:lineRule="exact"/>
        <w:ind w:firstLine="408" w:firstLineChars="200"/>
        <w:rPr>
          <w:spacing w:val="-3"/>
          <w:sz w:val="21"/>
        </w:rPr>
      </w:pPr>
      <w:r>
        <w:rPr>
          <w:rFonts w:hint="eastAsia"/>
          <w:spacing w:val="-3"/>
          <w:sz w:val="21"/>
        </w:rPr>
        <w:t>（9）检查变压器运行时有无异常声音（每月一次）；</w:t>
      </w:r>
    </w:p>
    <w:p>
      <w:pPr>
        <w:spacing w:line="560" w:lineRule="exact"/>
        <w:ind w:firstLine="408" w:firstLineChars="200"/>
        <w:rPr>
          <w:spacing w:val="-3"/>
          <w:sz w:val="21"/>
        </w:rPr>
      </w:pPr>
      <w:r>
        <w:rPr>
          <w:rFonts w:hint="eastAsia"/>
          <w:spacing w:val="-3"/>
          <w:sz w:val="21"/>
        </w:rPr>
        <w:t>（10）保持变压器室通风良好，安全防护装置完整（每月一次）；</w:t>
      </w:r>
    </w:p>
    <w:p>
      <w:pPr>
        <w:spacing w:line="560" w:lineRule="exact"/>
        <w:ind w:firstLine="408" w:firstLineChars="200"/>
        <w:rPr>
          <w:spacing w:val="-3"/>
          <w:sz w:val="21"/>
        </w:rPr>
      </w:pPr>
      <w:r>
        <w:rPr>
          <w:rFonts w:hint="eastAsia"/>
          <w:spacing w:val="-3"/>
          <w:sz w:val="21"/>
        </w:rPr>
        <w:t>（11）清除变压器周围的杂草污物（每季度一次）。</w:t>
      </w:r>
    </w:p>
    <w:p>
      <w:pPr>
        <w:spacing w:line="560" w:lineRule="exact"/>
        <w:ind w:firstLine="408" w:firstLineChars="200"/>
        <w:rPr>
          <w:spacing w:val="-3"/>
          <w:sz w:val="21"/>
        </w:rPr>
      </w:pPr>
      <w:r>
        <w:rPr>
          <w:rFonts w:hint="eastAsia"/>
          <w:spacing w:val="-3"/>
          <w:sz w:val="21"/>
        </w:rPr>
        <w:t>4、高压开关柜：</w:t>
      </w:r>
    </w:p>
    <w:p>
      <w:pPr>
        <w:spacing w:line="560" w:lineRule="exact"/>
        <w:ind w:firstLine="408" w:firstLineChars="200"/>
        <w:rPr>
          <w:spacing w:val="-3"/>
          <w:sz w:val="21"/>
        </w:rPr>
      </w:pPr>
      <w:r>
        <w:rPr>
          <w:rFonts w:hint="eastAsia"/>
          <w:spacing w:val="-3"/>
          <w:sz w:val="21"/>
        </w:rPr>
        <w:t>（1）清扫开关柜，要无灰尘、无油污（每月一次）；</w:t>
      </w:r>
    </w:p>
    <w:p>
      <w:pPr>
        <w:spacing w:line="560" w:lineRule="exact"/>
        <w:ind w:firstLine="408" w:firstLineChars="200"/>
        <w:rPr>
          <w:spacing w:val="-3"/>
          <w:sz w:val="21"/>
        </w:rPr>
      </w:pPr>
      <w:r>
        <w:rPr>
          <w:rFonts w:hint="eastAsia"/>
          <w:spacing w:val="-3"/>
          <w:sz w:val="21"/>
        </w:rPr>
        <w:t>（2）检查调整隔离开关的刀夹及弹簧，消除过热，清除伤痕（每月一次）；</w:t>
      </w:r>
    </w:p>
    <w:p>
      <w:pPr>
        <w:spacing w:line="560" w:lineRule="exact"/>
        <w:ind w:firstLine="408" w:firstLineChars="200"/>
        <w:rPr>
          <w:spacing w:val="-3"/>
          <w:sz w:val="21"/>
        </w:rPr>
      </w:pPr>
      <w:r>
        <w:rPr>
          <w:rFonts w:hint="eastAsia"/>
          <w:spacing w:val="-3"/>
          <w:sz w:val="21"/>
        </w:rPr>
        <w:t>（3）检查操作机构及连接装置是否灵活可靠，并加涂润滑油（每月一次）；</w:t>
      </w:r>
    </w:p>
    <w:p>
      <w:pPr>
        <w:spacing w:line="560" w:lineRule="exact"/>
        <w:ind w:firstLine="408" w:firstLineChars="200"/>
        <w:rPr>
          <w:spacing w:val="-3"/>
          <w:sz w:val="21"/>
        </w:rPr>
      </w:pPr>
      <w:r>
        <w:rPr>
          <w:rFonts w:hint="eastAsia"/>
          <w:spacing w:val="-3"/>
          <w:sz w:val="21"/>
        </w:rPr>
        <w:t>（4）清扫瓷瓶，并检查其有无裂损及放电现象（每月一次）；</w:t>
      </w:r>
    </w:p>
    <w:p>
      <w:pPr>
        <w:spacing w:line="560" w:lineRule="exact"/>
        <w:ind w:firstLine="408" w:firstLineChars="200"/>
        <w:rPr>
          <w:spacing w:val="-3"/>
          <w:sz w:val="21"/>
        </w:rPr>
      </w:pPr>
      <w:r>
        <w:rPr>
          <w:rFonts w:hint="eastAsia"/>
          <w:spacing w:val="-3"/>
          <w:sz w:val="21"/>
        </w:rPr>
        <w:t>（5）消除各导电连接点过热松动现象（每月一次）；</w:t>
      </w:r>
    </w:p>
    <w:p>
      <w:pPr>
        <w:spacing w:line="560" w:lineRule="exact"/>
        <w:ind w:firstLine="408" w:firstLineChars="200"/>
        <w:rPr>
          <w:spacing w:val="-3"/>
          <w:sz w:val="21"/>
        </w:rPr>
      </w:pPr>
      <w:r>
        <w:rPr>
          <w:rFonts w:hint="eastAsia"/>
          <w:spacing w:val="-3"/>
          <w:sz w:val="21"/>
        </w:rPr>
        <w:t>（6）擦拭各仪表及信号指示装置，并检查其工作是否正常，接线是否良好，更换已损坏的仪表线路、端子排及字迹不清楚的导线护套（每月一次）；</w:t>
      </w:r>
    </w:p>
    <w:p>
      <w:pPr>
        <w:spacing w:line="560" w:lineRule="exact"/>
        <w:ind w:firstLine="408" w:firstLineChars="200"/>
        <w:rPr>
          <w:spacing w:val="-3"/>
          <w:sz w:val="21"/>
        </w:rPr>
      </w:pPr>
      <w:r>
        <w:rPr>
          <w:rFonts w:hint="eastAsia"/>
          <w:spacing w:val="-3"/>
          <w:sz w:val="21"/>
        </w:rPr>
        <w:t>（7）检查柜体接地及固定是否良好（每月一次）；</w:t>
      </w:r>
    </w:p>
    <w:p>
      <w:pPr>
        <w:spacing w:line="560" w:lineRule="exact"/>
        <w:ind w:firstLine="408" w:firstLineChars="200"/>
        <w:rPr>
          <w:spacing w:val="-3"/>
          <w:sz w:val="21"/>
        </w:rPr>
      </w:pPr>
      <w:r>
        <w:rPr>
          <w:rFonts w:hint="eastAsia"/>
          <w:spacing w:val="-3"/>
          <w:sz w:val="21"/>
        </w:rPr>
        <w:t>（8）除锈，补漆并检查测量接地电阻（每季度一次）；</w:t>
      </w:r>
    </w:p>
    <w:p>
      <w:pPr>
        <w:spacing w:line="560" w:lineRule="exact"/>
        <w:ind w:firstLine="408" w:firstLineChars="200"/>
        <w:rPr>
          <w:spacing w:val="-3"/>
          <w:sz w:val="21"/>
        </w:rPr>
      </w:pPr>
      <w:r>
        <w:rPr>
          <w:rFonts w:hint="eastAsia"/>
          <w:spacing w:val="-3"/>
          <w:sz w:val="21"/>
        </w:rPr>
        <w:t>（9）每年进行一次继电保护整定（每年一次）。</w:t>
      </w:r>
    </w:p>
    <w:p>
      <w:pPr>
        <w:spacing w:line="560" w:lineRule="exact"/>
        <w:ind w:firstLine="408" w:firstLineChars="200"/>
        <w:rPr>
          <w:spacing w:val="-3"/>
          <w:sz w:val="21"/>
        </w:rPr>
      </w:pPr>
      <w:r>
        <w:rPr>
          <w:rFonts w:hint="eastAsia"/>
          <w:spacing w:val="-3"/>
          <w:sz w:val="21"/>
        </w:rPr>
        <w:t>5、母线排：</w:t>
      </w:r>
    </w:p>
    <w:p>
      <w:pPr>
        <w:spacing w:line="560" w:lineRule="exact"/>
        <w:ind w:firstLine="408" w:firstLineChars="200"/>
        <w:rPr>
          <w:spacing w:val="-3"/>
          <w:sz w:val="21"/>
        </w:rPr>
      </w:pPr>
      <w:r>
        <w:rPr>
          <w:rFonts w:hint="eastAsia"/>
          <w:spacing w:val="-3"/>
          <w:sz w:val="21"/>
        </w:rPr>
        <w:t>（1）清扫母线排及瓷瓶（有停电安排处理）；</w:t>
      </w:r>
    </w:p>
    <w:p>
      <w:pPr>
        <w:spacing w:line="560" w:lineRule="exact"/>
        <w:ind w:firstLine="408" w:firstLineChars="200"/>
        <w:rPr>
          <w:spacing w:val="-3"/>
          <w:sz w:val="21"/>
        </w:rPr>
      </w:pPr>
      <w:r>
        <w:rPr>
          <w:rFonts w:hint="eastAsia"/>
          <w:spacing w:val="-3"/>
          <w:sz w:val="21"/>
        </w:rPr>
        <w:t>（2）检查母线排连接处有无过热及闪络现象（有停电安排处理）；</w:t>
      </w:r>
    </w:p>
    <w:p>
      <w:pPr>
        <w:spacing w:line="560" w:lineRule="exact"/>
        <w:ind w:firstLine="408" w:firstLineChars="200"/>
        <w:rPr>
          <w:spacing w:val="-3"/>
          <w:sz w:val="21"/>
        </w:rPr>
      </w:pPr>
      <w:r>
        <w:rPr>
          <w:rFonts w:hint="eastAsia"/>
          <w:spacing w:val="-3"/>
          <w:sz w:val="21"/>
        </w:rPr>
        <w:t>（3）检查并紧固连接螺钉（有停电安排处理）；</w:t>
      </w:r>
    </w:p>
    <w:p>
      <w:pPr>
        <w:spacing w:line="560" w:lineRule="exact"/>
        <w:ind w:firstLine="408" w:firstLineChars="200"/>
        <w:rPr>
          <w:spacing w:val="-3"/>
          <w:sz w:val="21"/>
        </w:rPr>
      </w:pPr>
      <w:r>
        <w:rPr>
          <w:rFonts w:hint="eastAsia"/>
          <w:spacing w:val="-3"/>
          <w:sz w:val="21"/>
        </w:rPr>
        <w:t>（4）检查构架接地是否良好（有停电安排处理）；</w:t>
      </w:r>
    </w:p>
    <w:p>
      <w:pPr>
        <w:spacing w:line="560" w:lineRule="exact"/>
        <w:ind w:firstLine="408" w:firstLineChars="200"/>
        <w:rPr>
          <w:spacing w:val="-3"/>
          <w:sz w:val="21"/>
        </w:rPr>
      </w:pPr>
      <w:r>
        <w:rPr>
          <w:rFonts w:hint="eastAsia"/>
          <w:spacing w:val="-3"/>
          <w:sz w:val="21"/>
        </w:rPr>
        <w:t>（5）金属零件刷漆，汇流排涂黄、绿、红表示相序的色漆（有停电安排处理）。</w:t>
      </w:r>
    </w:p>
    <w:p>
      <w:pPr>
        <w:spacing w:line="560" w:lineRule="exact"/>
        <w:ind w:firstLine="408" w:firstLineChars="200"/>
        <w:rPr>
          <w:spacing w:val="-3"/>
          <w:sz w:val="21"/>
        </w:rPr>
      </w:pPr>
      <w:r>
        <w:rPr>
          <w:rFonts w:hint="eastAsia"/>
          <w:spacing w:val="-3"/>
          <w:sz w:val="21"/>
        </w:rPr>
        <w:t>6、互感器（每月检查一次，停电后都做以下处理）：</w:t>
      </w:r>
    </w:p>
    <w:p>
      <w:pPr>
        <w:spacing w:line="560" w:lineRule="exact"/>
        <w:ind w:firstLine="408" w:firstLineChars="200"/>
        <w:rPr>
          <w:spacing w:val="-3"/>
          <w:sz w:val="21"/>
        </w:rPr>
      </w:pPr>
      <w:r>
        <w:rPr>
          <w:rFonts w:hint="eastAsia"/>
          <w:spacing w:val="-3"/>
          <w:sz w:val="21"/>
        </w:rPr>
        <w:t>（1）清扫壳体，检查紧固情况；</w:t>
      </w:r>
    </w:p>
    <w:p>
      <w:pPr>
        <w:spacing w:line="560" w:lineRule="exact"/>
        <w:ind w:firstLine="408" w:firstLineChars="200"/>
        <w:rPr>
          <w:spacing w:val="-3"/>
          <w:sz w:val="21"/>
        </w:rPr>
      </w:pPr>
      <w:r>
        <w:rPr>
          <w:rFonts w:hint="eastAsia"/>
          <w:spacing w:val="-3"/>
          <w:sz w:val="21"/>
        </w:rPr>
        <w:t>（2）清扫瓷瓶，并检查其有无裂损现象；</w:t>
      </w:r>
    </w:p>
    <w:p>
      <w:pPr>
        <w:spacing w:line="560" w:lineRule="exact"/>
        <w:ind w:firstLine="408" w:firstLineChars="200"/>
        <w:rPr>
          <w:spacing w:val="-3"/>
          <w:sz w:val="21"/>
        </w:rPr>
      </w:pPr>
      <w:r>
        <w:rPr>
          <w:rFonts w:hint="eastAsia"/>
          <w:spacing w:val="-3"/>
          <w:sz w:val="21"/>
        </w:rPr>
        <w:t>（3）检查导电连接及铁芯有无松动过热现象，更换损坏之导线及端子排；</w:t>
      </w:r>
    </w:p>
    <w:p>
      <w:pPr>
        <w:spacing w:line="560" w:lineRule="exact"/>
        <w:ind w:firstLine="408" w:firstLineChars="200"/>
        <w:rPr>
          <w:spacing w:val="-3"/>
          <w:sz w:val="21"/>
        </w:rPr>
      </w:pPr>
      <w:r>
        <w:rPr>
          <w:rFonts w:hint="eastAsia"/>
          <w:spacing w:val="-3"/>
          <w:sz w:val="21"/>
        </w:rPr>
        <w:t>（4）检查接地是否良好；</w:t>
      </w:r>
    </w:p>
    <w:p>
      <w:pPr>
        <w:spacing w:line="560" w:lineRule="exact"/>
        <w:ind w:firstLine="408" w:firstLineChars="200"/>
        <w:rPr>
          <w:spacing w:val="-3"/>
          <w:sz w:val="21"/>
        </w:rPr>
      </w:pPr>
      <w:r>
        <w:rPr>
          <w:rFonts w:hint="eastAsia"/>
          <w:spacing w:val="-3"/>
          <w:sz w:val="21"/>
        </w:rPr>
        <w:t>（5）除锈、涂漆。</w:t>
      </w:r>
    </w:p>
    <w:p>
      <w:pPr>
        <w:spacing w:line="560" w:lineRule="exact"/>
        <w:ind w:firstLine="408" w:firstLineChars="200"/>
        <w:rPr>
          <w:spacing w:val="-3"/>
          <w:sz w:val="21"/>
        </w:rPr>
      </w:pPr>
      <w:r>
        <w:rPr>
          <w:rFonts w:hint="eastAsia"/>
          <w:spacing w:val="-3"/>
          <w:sz w:val="21"/>
        </w:rPr>
        <w:t>7、电力电容器（每月检查一次，停电后都做以下处理）：</w:t>
      </w:r>
    </w:p>
    <w:p>
      <w:pPr>
        <w:spacing w:line="560" w:lineRule="exact"/>
        <w:ind w:firstLine="408" w:firstLineChars="200"/>
        <w:rPr>
          <w:spacing w:val="-3"/>
          <w:sz w:val="21"/>
        </w:rPr>
      </w:pPr>
      <w:r>
        <w:rPr>
          <w:rFonts w:hint="eastAsia"/>
          <w:spacing w:val="-3"/>
          <w:sz w:val="21"/>
        </w:rPr>
        <w:t>（1）清扫电容器及电容器室，保持室内通风良好；</w:t>
      </w:r>
    </w:p>
    <w:p>
      <w:pPr>
        <w:spacing w:line="560" w:lineRule="exact"/>
        <w:ind w:firstLine="408" w:firstLineChars="200"/>
        <w:rPr>
          <w:spacing w:val="-3"/>
          <w:sz w:val="21"/>
        </w:rPr>
      </w:pPr>
      <w:r>
        <w:rPr>
          <w:rFonts w:hint="eastAsia"/>
          <w:spacing w:val="-3"/>
          <w:sz w:val="21"/>
        </w:rPr>
        <w:t>（2）检查电容器壳体有无膨胀及漏油现象，更换有缺陷的电容器；</w:t>
      </w:r>
    </w:p>
    <w:p>
      <w:pPr>
        <w:spacing w:line="560" w:lineRule="exact"/>
        <w:ind w:firstLine="408" w:firstLineChars="200"/>
        <w:rPr>
          <w:spacing w:val="-3"/>
          <w:sz w:val="21"/>
        </w:rPr>
      </w:pPr>
      <w:r>
        <w:rPr>
          <w:rFonts w:hint="eastAsia"/>
          <w:spacing w:val="-3"/>
          <w:sz w:val="21"/>
        </w:rPr>
        <w:t>（3）检查连接导线是否可靠，消除接点的松动过热现象；</w:t>
      </w:r>
    </w:p>
    <w:p>
      <w:pPr>
        <w:spacing w:line="560" w:lineRule="exact"/>
        <w:ind w:firstLine="408" w:firstLineChars="200"/>
        <w:rPr>
          <w:spacing w:val="-3"/>
          <w:sz w:val="21"/>
        </w:rPr>
      </w:pPr>
      <w:r>
        <w:rPr>
          <w:rFonts w:hint="eastAsia"/>
          <w:spacing w:val="-3"/>
          <w:sz w:val="21"/>
        </w:rPr>
        <w:t>（4）检查接地和放电装置是否良好；</w:t>
      </w:r>
    </w:p>
    <w:p>
      <w:pPr>
        <w:spacing w:line="560" w:lineRule="exact"/>
        <w:ind w:firstLine="408" w:firstLineChars="200"/>
        <w:rPr>
          <w:spacing w:val="-3"/>
          <w:sz w:val="21"/>
        </w:rPr>
      </w:pPr>
      <w:r>
        <w:rPr>
          <w:rFonts w:hint="eastAsia"/>
          <w:spacing w:val="-3"/>
          <w:sz w:val="21"/>
        </w:rPr>
        <w:t>（5）检查仪表信号的工作是否正常；</w:t>
      </w:r>
    </w:p>
    <w:p>
      <w:pPr>
        <w:spacing w:line="560" w:lineRule="exact"/>
        <w:ind w:firstLine="408" w:firstLineChars="200"/>
        <w:rPr>
          <w:spacing w:val="-3"/>
          <w:sz w:val="21"/>
        </w:rPr>
      </w:pPr>
      <w:r>
        <w:rPr>
          <w:rFonts w:hint="eastAsia"/>
          <w:spacing w:val="-3"/>
          <w:sz w:val="21"/>
        </w:rPr>
        <w:t>（6）更换损坏的放电电阻或灯泡。</w:t>
      </w:r>
    </w:p>
    <w:p>
      <w:pPr>
        <w:spacing w:line="560" w:lineRule="exact"/>
        <w:ind w:firstLine="408" w:firstLineChars="200"/>
        <w:rPr>
          <w:spacing w:val="-3"/>
          <w:sz w:val="21"/>
        </w:rPr>
      </w:pPr>
      <w:r>
        <w:rPr>
          <w:rFonts w:hint="eastAsia"/>
          <w:spacing w:val="-3"/>
          <w:sz w:val="21"/>
        </w:rPr>
        <w:t>8、避雷器（每年一次）（每月检查一次，停电后都做以下处理）：</w:t>
      </w:r>
    </w:p>
    <w:p>
      <w:pPr>
        <w:spacing w:line="560" w:lineRule="exact"/>
        <w:ind w:firstLine="408" w:firstLineChars="200"/>
        <w:rPr>
          <w:spacing w:val="-3"/>
          <w:sz w:val="21"/>
        </w:rPr>
      </w:pPr>
      <w:r>
        <w:rPr>
          <w:rFonts w:hint="eastAsia"/>
          <w:spacing w:val="-3"/>
          <w:sz w:val="21"/>
        </w:rPr>
        <w:t>（1）清扫壳体，检查紧固情况；</w:t>
      </w:r>
    </w:p>
    <w:p>
      <w:pPr>
        <w:spacing w:line="560" w:lineRule="exact"/>
        <w:ind w:firstLine="408" w:firstLineChars="200"/>
        <w:rPr>
          <w:spacing w:val="-3"/>
          <w:sz w:val="21"/>
        </w:rPr>
      </w:pPr>
      <w:r>
        <w:rPr>
          <w:rFonts w:hint="eastAsia"/>
          <w:spacing w:val="-3"/>
          <w:sz w:val="21"/>
        </w:rPr>
        <w:t>（2）清扫瓷瓶，并检查其有无裂损及闪络痕迹；</w:t>
      </w:r>
    </w:p>
    <w:p>
      <w:pPr>
        <w:spacing w:line="560" w:lineRule="exact"/>
        <w:ind w:firstLine="408" w:firstLineChars="200"/>
        <w:rPr>
          <w:spacing w:val="-3"/>
          <w:sz w:val="21"/>
        </w:rPr>
      </w:pPr>
      <w:r>
        <w:rPr>
          <w:rFonts w:hint="eastAsia"/>
          <w:spacing w:val="-3"/>
          <w:sz w:val="21"/>
        </w:rPr>
        <w:t>（3）检查接地及导电连接是否良好；</w:t>
      </w:r>
    </w:p>
    <w:p>
      <w:pPr>
        <w:spacing w:line="560" w:lineRule="exact"/>
        <w:ind w:firstLine="408" w:firstLineChars="200"/>
        <w:rPr>
          <w:spacing w:val="-3"/>
          <w:sz w:val="21"/>
        </w:rPr>
      </w:pPr>
      <w:r>
        <w:rPr>
          <w:rFonts w:hint="eastAsia"/>
          <w:spacing w:val="-3"/>
          <w:sz w:val="21"/>
        </w:rPr>
        <w:t>（4）检查运行中有无异常现象；</w:t>
      </w:r>
    </w:p>
    <w:p>
      <w:pPr>
        <w:spacing w:line="560" w:lineRule="exact"/>
        <w:ind w:firstLine="408" w:firstLineChars="200"/>
        <w:rPr>
          <w:spacing w:val="-3"/>
          <w:sz w:val="21"/>
        </w:rPr>
      </w:pPr>
      <w:r>
        <w:rPr>
          <w:rFonts w:hint="eastAsia"/>
          <w:spacing w:val="-3"/>
          <w:sz w:val="21"/>
        </w:rPr>
        <w:t>（5）更换已锈蚀的抱箍及螺栓；</w:t>
      </w:r>
    </w:p>
    <w:p>
      <w:pPr>
        <w:spacing w:line="560" w:lineRule="exact"/>
        <w:ind w:firstLine="408" w:firstLineChars="200"/>
        <w:rPr>
          <w:spacing w:val="-3"/>
          <w:sz w:val="21"/>
        </w:rPr>
      </w:pPr>
      <w:r>
        <w:rPr>
          <w:rFonts w:hint="eastAsia"/>
          <w:spacing w:val="-3"/>
          <w:sz w:val="21"/>
        </w:rPr>
        <w:t>（6）按电气规程，作预防性试验；</w:t>
      </w:r>
    </w:p>
    <w:p>
      <w:pPr>
        <w:spacing w:line="560" w:lineRule="exact"/>
        <w:ind w:firstLine="408" w:firstLineChars="200"/>
        <w:rPr>
          <w:spacing w:val="-3"/>
          <w:sz w:val="21"/>
        </w:rPr>
      </w:pPr>
      <w:r>
        <w:rPr>
          <w:rFonts w:hint="eastAsia"/>
          <w:spacing w:val="-3"/>
          <w:sz w:val="21"/>
        </w:rPr>
        <w:t>9、接地装置（每月一次）：</w:t>
      </w:r>
    </w:p>
    <w:p>
      <w:pPr>
        <w:spacing w:line="560" w:lineRule="exact"/>
        <w:ind w:firstLine="408" w:firstLineChars="200"/>
        <w:rPr>
          <w:spacing w:val="-3"/>
          <w:sz w:val="21"/>
        </w:rPr>
      </w:pPr>
      <w:r>
        <w:rPr>
          <w:rFonts w:hint="eastAsia"/>
          <w:spacing w:val="-3"/>
          <w:sz w:val="21"/>
        </w:rPr>
        <w:t>（1）检查接地钢及接地导线，消除断损缺陷，必要时更换已损坏的接地装置；</w:t>
      </w:r>
    </w:p>
    <w:p>
      <w:pPr>
        <w:spacing w:line="560" w:lineRule="exact"/>
        <w:ind w:firstLine="408" w:firstLineChars="200"/>
        <w:rPr>
          <w:spacing w:val="-3"/>
          <w:sz w:val="21"/>
        </w:rPr>
      </w:pPr>
      <w:r>
        <w:rPr>
          <w:rFonts w:hint="eastAsia"/>
          <w:spacing w:val="-3"/>
          <w:sz w:val="21"/>
        </w:rPr>
        <w:t>（2）对锈蚀导线涂防绣漆；</w:t>
      </w:r>
    </w:p>
    <w:p>
      <w:pPr>
        <w:spacing w:line="560" w:lineRule="exact"/>
        <w:ind w:firstLine="408" w:firstLineChars="200"/>
        <w:rPr>
          <w:spacing w:val="-3"/>
          <w:sz w:val="21"/>
        </w:rPr>
      </w:pPr>
      <w:r>
        <w:rPr>
          <w:rFonts w:hint="eastAsia"/>
          <w:spacing w:val="-3"/>
          <w:sz w:val="21"/>
        </w:rPr>
        <w:t>（3）填培泥土，覆盖露出地面的接地桩；</w:t>
      </w:r>
    </w:p>
    <w:p>
      <w:pPr>
        <w:spacing w:line="560" w:lineRule="exact"/>
        <w:ind w:firstLine="408" w:firstLineChars="200"/>
        <w:rPr>
          <w:spacing w:val="-3"/>
          <w:sz w:val="21"/>
        </w:rPr>
      </w:pPr>
      <w:r>
        <w:rPr>
          <w:rFonts w:hint="eastAsia"/>
          <w:spacing w:val="-3"/>
          <w:sz w:val="21"/>
        </w:rPr>
        <w:t>（4）检查接点连接情况，消除连接不良现象。</w:t>
      </w:r>
    </w:p>
    <w:p>
      <w:pPr>
        <w:spacing w:line="560" w:lineRule="exact"/>
        <w:ind w:firstLine="408" w:firstLineChars="200"/>
        <w:rPr>
          <w:spacing w:val="-3"/>
          <w:sz w:val="21"/>
        </w:rPr>
      </w:pPr>
      <w:r>
        <w:rPr>
          <w:rFonts w:hint="eastAsia"/>
          <w:spacing w:val="-3"/>
          <w:sz w:val="21"/>
        </w:rPr>
        <w:t>10、蓄电池组（每月一次）：</w:t>
      </w:r>
    </w:p>
    <w:p>
      <w:pPr>
        <w:spacing w:line="560" w:lineRule="exact"/>
        <w:ind w:firstLine="408" w:firstLineChars="200"/>
        <w:rPr>
          <w:spacing w:val="-3"/>
          <w:sz w:val="21"/>
        </w:rPr>
      </w:pPr>
      <w:r>
        <w:rPr>
          <w:rFonts w:hint="eastAsia"/>
          <w:spacing w:val="-3"/>
          <w:sz w:val="21"/>
        </w:rPr>
        <w:t>（1）清扫蓄电池室，保持室内通风良好；</w:t>
      </w:r>
    </w:p>
    <w:p>
      <w:pPr>
        <w:spacing w:line="560" w:lineRule="exact"/>
        <w:ind w:firstLine="408" w:firstLineChars="200"/>
        <w:rPr>
          <w:spacing w:val="-3"/>
          <w:sz w:val="21"/>
        </w:rPr>
      </w:pPr>
      <w:r>
        <w:rPr>
          <w:rFonts w:hint="eastAsia"/>
          <w:spacing w:val="-3"/>
          <w:sz w:val="21"/>
        </w:rPr>
        <w:t>（2）检查外壳是否完整，是否漏电介液，对电池外壳作清洗绝缘工作；</w:t>
      </w:r>
    </w:p>
    <w:p>
      <w:pPr>
        <w:spacing w:line="560" w:lineRule="exact"/>
        <w:ind w:firstLine="408" w:firstLineChars="200"/>
        <w:rPr>
          <w:spacing w:val="-3"/>
          <w:sz w:val="21"/>
        </w:rPr>
      </w:pPr>
      <w:r>
        <w:rPr>
          <w:rFonts w:hint="eastAsia"/>
          <w:spacing w:val="-3"/>
          <w:sz w:val="21"/>
        </w:rPr>
        <w:t>（3）检查电介液的比重、温度及液面是否正常；</w:t>
      </w:r>
    </w:p>
    <w:p>
      <w:pPr>
        <w:spacing w:line="560" w:lineRule="exact"/>
        <w:ind w:firstLine="408" w:firstLineChars="200"/>
        <w:rPr>
          <w:spacing w:val="-3"/>
          <w:sz w:val="21"/>
        </w:rPr>
      </w:pPr>
      <w:r>
        <w:rPr>
          <w:rFonts w:hint="eastAsia"/>
          <w:spacing w:val="-3"/>
          <w:sz w:val="21"/>
        </w:rPr>
        <w:t>（4）检查各电池的电压是否正常；</w:t>
      </w:r>
    </w:p>
    <w:p>
      <w:pPr>
        <w:spacing w:line="560" w:lineRule="exact"/>
        <w:ind w:firstLine="408" w:firstLineChars="200"/>
        <w:rPr>
          <w:spacing w:val="-3"/>
          <w:sz w:val="21"/>
        </w:rPr>
      </w:pPr>
      <w:r>
        <w:rPr>
          <w:rFonts w:hint="eastAsia"/>
          <w:spacing w:val="-3"/>
          <w:sz w:val="21"/>
        </w:rPr>
        <w:t>（5）检查引线及连接点是否完好；</w:t>
      </w:r>
    </w:p>
    <w:p>
      <w:pPr>
        <w:spacing w:line="560" w:lineRule="exact"/>
        <w:ind w:firstLine="408" w:firstLineChars="200"/>
        <w:rPr>
          <w:spacing w:val="-3"/>
          <w:sz w:val="21"/>
        </w:rPr>
      </w:pPr>
      <w:r>
        <w:rPr>
          <w:rFonts w:hint="eastAsia"/>
          <w:spacing w:val="-3"/>
          <w:sz w:val="21"/>
        </w:rPr>
        <w:t>（6）更换已损坏的隔板和极板；</w:t>
      </w:r>
    </w:p>
    <w:p>
      <w:pPr>
        <w:spacing w:line="560" w:lineRule="exact"/>
        <w:ind w:firstLine="408" w:firstLineChars="200"/>
        <w:rPr>
          <w:spacing w:val="-3"/>
          <w:sz w:val="21"/>
        </w:rPr>
      </w:pPr>
      <w:r>
        <w:rPr>
          <w:rFonts w:hint="eastAsia"/>
          <w:spacing w:val="-3"/>
          <w:sz w:val="21"/>
        </w:rPr>
        <w:t>（7）排出极间短路现象；</w:t>
      </w:r>
    </w:p>
    <w:p>
      <w:pPr>
        <w:pStyle w:val="2"/>
        <w:ind w:left="0" w:leftChars="0" w:firstLine="0" w:firstLineChars="0"/>
        <w:jc w:val="center"/>
        <w:rPr>
          <w:rFonts w:ascii="宋体" w:hAnsi="宋体" w:cs="宋体"/>
          <w:b/>
          <w:bCs/>
          <w:color w:val="000000"/>
          <w:kern w:val="0"/>
          <w:sz w:val="28"/>
          <w:szCs w:val="28"/>
          <w:lang w:bidi="ar"/>
        </w:rPr>
      </w:pPr>
    </w:p>
    <w:p>
      <w:pPr>
        <w:pStyle w:val="2"/>
        <w:ind w:left="640" w:firstLine="560"/>
        <w:rPr>
          <w:sz w:val="28"/>
        </w:rPr>
      </w:pPr>
      <w:r>
        <w:rPr>
          <w:sz w:val="28"/>
        </w:rPr>
        <w:br w:type="page"/>
      </w:r>
    </w:p>
    <w:p>
      <w:pPr>
        <w:rPr>
          <w:rFonts w:ascii="仿宋" w:hAnsi="仿宋" w:eastAsia="仿宋"/>
        </w:rPr>
      </w:pPr>
    </w:p>
    <w:p>
      <w:pPr>
        <w:pStyle w:val="6"/>
        <w:spacing w:line="400" w:lineRule="atLeast"/>
        <w:jc w:val="center"/>
        <w:rPr>
          <w:b/>
          <w:sz w:val="45"/>
        </w:rPr>
      </w:pPr>
      <w:r>
        <w:rPr>
          <w:rFonts w:hint="eastAsia" w:ascii="仿宋" w:hAnsi="仿宋" w:eastAsia="仿宋"/>
          <w:b/>
          <w:sz w:val="32"/>
          <w:szCs w:val="32"/>
        </w:rPr>
        <w:t>二、授权委托书或法定代表人身份证明</w:t>
      </w:r>
    </w:p>
    <w:p>
      <w:pPr>
        <w:pStyle w:val="6"/>
        <w:numPr>
          <w:ilvl w:val="0"/>
          <w:numId w:val="13"/>
        </w:numPr>
        <w:spacing w:before="7" w:line="400" w:lineRule="atLeast"/>
        <w:ind w:firstLine="562" w:firstLineChars="200"/>
        <w:jc w:val="center"/>
        <w:rPr>
          <w:b/>
          <w:sz w:val="28"/>
          <w:szCs w:val="28"/>
        </w:rPr>
      </w:pPr>
      <w:r>
        <w:rPr>
          <w:rFonts w:ascii="仿宋" w:hAnsi="仿宋" w:eastAsia="仿宋"/>
          <w:b/>
          <w:sz w:val="28"/>
          <w:szCs w:val="28"/>
        </w:rPr>
        <w:t>授权委托书（如果有）</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本人（姓名）系（报价人名称）的法定代表人，现委托（姓名）为我方代理人。代理人根据授权，以我方名义签字、澄清确认、递交、撤回、修改</w:t>
      </w:r>
      <w:r>
        <w:rPr>
          <w:rFonts w:hint="eastAsia" w:ascii="仿宋" w:hAnsi="仿宋" w:eastAsia="仿宋"/>
          <w:sz w:val="28"/>
          <w:szCs w:val="28"/>
          <w:u w:val="single"/>
        </w:rPr>
        <w:t>四川秦巴高速公路有限责任公司巴南段、广巴段、巴陕段场外电力线路及设施设备日常维护项目</w:t>
      </w:r>
      <w:r>
        <w:rPr>
          <w:rFonts w:hint="eastAsia" w:ascii="仿宋" w:hAnsi="仿宋" w:eastAsia="仿宋"/>
          <w:bCs/>
          <w:sz w:val="28"/>
          <w:szCs w:val="28"/>
        </w:rPr>
        <w:t>报价文件、签订合同和处理有关事宜，其法律后果由我方承担。</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委托期限：自本委托书签字之日起至报价有效期期满。</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代理人无转委托权</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附：法定代表人身份证影印件及委托代理人身份证影印件（彩色或黑白）。</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报价人：</w:t>
      </w:r>
      <w:r>
        <w:rPr>
          <w:rFonts w:hint="eastAsia" w:ascii="仿宋" w:hAnsi="仿宋" w:eastAsia="仿宋"/>
          <w:bCs/>
          <w:sz w:val="28"/>
          <w:szCs w:val="28"/>
        </w:rPr>
        <w:tab/>
      </w:r>
      <w:r>
        <w:rPr>
          <w:rFonts w:hint="eastAsia" w:ascii="仿宋" w:hAnsi="仿宋" w:eastAsia="仿宋"/>
          <w:bCs/>
          <w:sz w:val="28"/>
          <w:szCs w:val="28"/>
        </w:rPr>
        <w:t>（盖单位章）</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法定代表人：</w:t>
      </w:r>
      <w:r>
        <w:rPr>
          <w:rFonts w:hint="eastAsia" w:ascii="仿宋" w:hAnsi="仿宋" w:eastAsia="仿宋"/>
          <w:bCs/>
          <w:sz w:val="28"/>
          <w:szCs w:val="28"/>
        </w:rPr>
        <w:tab/>
      </w:r>
      <w:r>
        <w:rPr>
          <w:rFonts w:hint="eastAsia" w:ascii="仿宋" w:hAnsi="仿宋" w:eastAsia="仿宋"/>
          <w:bCs/>
          <w:sz w:val="28"/>
          <w:szCs w:val="28"/>
        </w:rPr>
        <w:t>（签字）</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身份证号码：</w:t>
      </w:r>
      <w:r>
        <w:rPr>
          <w:rFonts w:hint="eastAsia" w:ascii="仿宋" w:hAnsi="仿宋" w:eastAsia="仿宋"/>
          <w:bCs/>
          <w:sz w:val="28"/>
          <w:szCs w:val="28"/>
        </w:rPr>
        <w:tab/>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委托代理人：</w:t>
      </w:r>
      <w:r>
        <w:rPr>
          <w:rFonts w:hint="eastAsia" w:ascii="仿宋" w:hAnsi="仿宋" w:eastAsia="仿宋"/>
          <w:bCs/>
          <w:sz w:val="28"/>
          <w:szCs w:val="28"/>
        </w:rPr>
        <w:tab/>
      </w:r>
      <w:r>
        <w:rPr>
          <w:rFonts w:hint="eastAsia" w:ascii="仿宋" w:hAnsi="仿宋" w:eastAsia="仿宋"/>
          <w:bCs/>
          <w:sz w:val="28"/>
          <w:szCs w:val="28"/>
        </w:rPr>
        <w:t>（签字）</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身份证号码：</w:t>
      </w:r>
      <w:r>
        <w:rPr>
          <w:rFonts w:hint="eastAsia" w:ascii="仿宋" w:hAnsi="仿宋" w:eastAsia="仿宋"/>
          <w:bCs/>
          <w:sz w:val="28"/>
          <w:szCs w:val="28"/>
        </w:rPr>
        <w:tab/>
      </w:r>
    </w:p>
    <w:p>
      <w:pPr>
        <w:pStyle w:val="6"/>
        <w:spacing w:line="560" w:lineRule="atLeast"/>
        <w:ind w:firstLine="560" w:firstLineChars="200"/>
        <w:rPr>
          <w:sz w:val="28"/>
          <w:szCs w:val="28"/>
        </w:rPr>
      </w:pPr>
      <w:r>
        <w:rPr>
          <w:rFonts w:hint="eastAsia" w:ascii="仿宋" w:hAnsi="仿宋" w:eastAsia="仿宋"/>
          <w:bCs/>
          <w:sz w:val="28"/>
          <w:szCs w:val="28"/>
        </w:rPr>
        <w:tab/>
      </w:r>
      <w:r>
        <w:rPr>
          <w:rFonts w:hint="eastAsia" w:ascii="仿宋" w:hAnsi="仿宋" w:eastAsia="仿宋"/>
          <w:bCs/>
          <w:sz w:val="28"/>
          <w:szCs w:val="28"/>
        </w:rPr>
        <w:t>年</w:t>
      </w:r>
      <w:r>
        <w:rPr>
          <w:rFonts w:hint="eastAsia" w:ascii="仿宋" w:hAnsi="仿宋" w:eastAsia="仿宋"/>
          <w:bCs/>
          <w:sz w:val="28"/>
          <w:szCs w:val="28"/>
        </w:rPr>
        <w:tab/>
      </w:r>
      <w:r>
        <w:rPr>
          <w:rFonts w:hint="eastAsia" w:ascii="仿宋" w:hAnsi="仿宋" w:eastAsia="仿宋"/>
          <w:bCs/>
          <w:sz w:val="28"/>
          <w:szCs w:val="28"/>
        </w:rPr>
        <w:t>月</w:t>
      </w:r>
      <w:r>
        <w:rPr>
          <w:rFonts w:hint="eastAsia" w:ascii="仿宋" w:hAnsi="仿宋" w:eastAsia="仿宋"/>
          <w:bCs/>
          <w:sz w:val="28"/>
          <w:szCs w:val="28"/>
        </w:rPr>
        <w:tab/>
      </w:r>
      <w:r>
        <w:rPr>
          <w:rFonts w:hint="eastAsia" w:ascii="仿宋" w:hAnsi="仿宋" w:eastAsia="仿宋"/>
          <w:bCs/>
          <w:sz w:val="28"/>
          <w:szCs w:val="28"/>
        </w:rPr>
        <w:t>日</w:t>
      </w:r>
    </w:p>
    <w:p>
      <w:pPr>
        <w:pStyle w:val="6"/>
        <w:spacing w:line="560" w:lineRule="atLeast"/>
        <w:ind w:left="562" w:hanging="562" w:hangingChars="200"/>
        <w:rPr>
          <w:rFonts w:ascii="仿宋" w:hAnsi="仿宋" w:eastAsia="仿宋"/>
          <w:b/>
          <w:bCs/>
          <w:sz w:val="28"/>
          <w:szCs w:val="28"/>
        </w:rPr>
      </w:pPr>
      <w:r>
        <w:rPr>
          <w:rFonts w:ascii="仿宋" w:hAnsi="仿宋" w:eastAsia="仿宋"/>
          <w:b/>
          <w:bCs/>
          <w:sz w:val="28"/>
          <w:szCs w:val="28"/>
        </w:rPr>
        <w:t>注：1.如果报价文件由委托代理人签署，则报价人须提交授权委托书和法定代表人身份证明。</w:t>
      </w:r>
    </w:p>
    <w:p>
      <w:pPr>
        <w:pStyle w:val="6"/>
        <w:spacing w:line="560" w:lineRule="atLeast"/>
        <w:ind w:firstLine="644" w:firstLineChars="229"/>
        <w:rPr>
          <w:rFonts w:ascii="仿宋" w:hAnsi="仿宋" w:eastAsia="仿宋"/>
          <w:b/>
          <w:bCs/>
          <w:sz w:val="28"/>
          <w:szCs w:val="28"/>
        </w:rPr>
      </w:pPr>
      <w:r>
        <w:rPr>
          <w:rFonts w:ascii="仿宋" w:hAnsi="仿宋" w:eastAsia="仿宋"/>
          <w:b/>
          <w:bCs/>
          <w:sz w:val="28"/>
          <w:szCs w:val="28"/>
        </w:rPr>
        <w:t>2.提交的授权委托书须满足下列要求，否则其授权无效：</w:t>
      </w:r>
    </w:p>
    <w:p>
      <w:pPr>
        <w:pStyle w:val="6"/>
        <w:spacing w:line="560" w:lineRule="atLeast"/>
        <w:ind w:firstLine="644" w:firstLineChars="229"/>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报价人须在授权委托书上加盖报价人单位章；</w:t>
      </w:r>
    </w:p>
    <w:p>
      <w:pPr>
        <w:pStyle w:val="6"/>
        <w:spacing w:line="560" w:lineRule="atLeast"/>
        <w:ind w:firstLine="644" w:firstLineChars="229"/>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法定代表人和委托代理人必须在授权书上亲笔签名，不得使用印章、签名章或其他电子制版签名代替；</w:t>
      </w:r>
    </w:p>
    <w:p>
      <w:pPr>
        <w:pStyle w:val="6"/>
        <w:spacing w:line="560" w:lineRule="atLeast"/>
        <w:ind w:firstLine="644" w:firstLineChars="229"/>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委托代理人只能是一个人，且不能再授予他人；</w:t>
      </w:r>
    </w:p>
    <w:p>
      <w:pPr>
        <w:pStyle w:val="6"/>
        <w:spacing w:line="560" w:lineRule="atLeast"/>
        <w:ind w:firstLine="644" w:firstLineChars="229"/>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授权委托书的时间应与法定代表人或其委托代理人签署报价函的时间同日或在其之前。</w:t>
      </w:r>
    </w:p>
    <w:p>
      <w:pPr>
        <w:rPr>
          <w:rFonts w:ascii="仿宋" w:hAnsi="仿宋" w:eastAsia="仿宋"/>
          <w:b/>
          <w:bCs/>
          <w:sz w:val="28"/>
          <w:szCs w:val="28"/>
        </w:rPr>
      </w:pPr>
    </w:p>
    <w:p>
      <w:pPr>
        <w:pStyle w:val="6"/>
      </w:pPr>
    </w:p>
    <w:p>
      <w:pPr>
        <w:pStyle w:val="6"/>
        <w:numPr>
          <w:ilvl w:val="0"/>
          <w:numId w:val="13"/>
        </w:numPr>
        <w:spacing w:before="7" w:line="560" w:lineRule="atLeast"/>
        <w:jc w:val="center"/>
        <w:rPr>
          <w:rFonts w:ascii="仿宋" w:hAnsi="仿宋" w:eastAsia="仿宋"/>
          <w:b/>
          <w:sz w:val="28"/>
          <w:szCs w:val="28"/>
        </w:rPr>
      </w:pPr>
      <w:r>
        <w:rPr>
          <w:rFonts w:hint="eastAsia" w:ascii="仿宋" w:hAnsi="仿宋" w:eastAsia="仿宋"/>
          <w:b/>
          <w:sz w:val="28"/>
          <w:szCs w:val="28"/>
        </w:rPr>
        <w:t>法定代表人身份证明</w:t>
      </w:r>
    </w:p>
    <w:p>
      <w:pPr>
        <w:pStyle w:val="6"/>
        <w:spacing w:line="560" w:lineRule="atLeast"/>
        <w:ind w:firstLine="560" w:firstLineChars="200"/>
        <w:rPr>
          <w:rFonts w:ascii="仿宋" w:hAnsi="仿宋" w:eastAsia="仿宋"/>
          <w:bCs/>
          <w:sz w:val="28"/>
          <w:szCs w:val="28"/>
        </w:rPr>
      </w:pPr>
    </w:p>
    <w:p>
      <w:pPr>
        <w:pStyle w:val="6"/>
        <w:spacing w:line="560" w:lineRule="atLeast"/>
        <w:ind w:firstLine="560" w:firstLineChars="200"/>
        <w:rPr>
          <w:rFonts w:ascii="仿宋" w:hAnsi="仿宋" w:eastAsia="仿宋"/>
          <w:bCs/>
          <w:sz w:val="28"/>
          <w:szCs w:val="28"/>
        </w:rPr>
      </w:pPr>
    </w:p>
    <w:p>
      <w:pPr>
        <w:pStyle w:val="6"/>
        <w:spacing w:line="560" w:lineRule="atLeast"/>
        <w:ind w:firstLine="560" w:firstLineChars="200"/>
        <w:rPr>
          <w:rFonts w:ascii="仿宋" w:hAnsi="仿宋" w:eastAsia="仿宋"/>
          <w:bCs/>
          <w:sz w:val="28"/>
          <w:szCs w:val="28"/>
        </w:rPr>
      </w:pP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lang w:eastAsia="zh-CN"/>
        </w:rPr>
        <w:t>比选申请人</w:t>
      </w:r>
      <w:r>
        <w:rPr>
          <w:rFonts w:hint="eastAsia" w:ascii="仿宋" w:hAnsi="仿宋" w:eastAsia="仿宋"/>
          <w:bCs/>
          <w:sz w:val="28"/>
          <w:szCs w:val="28"/>
        </w:rPr>
        <w:t>名称：</w:t>
      </w:r>
    </w:p>
    <w:p>
      <w:pPr>
        <w:pStyle w:val="6"/>
        <w:spacing w:line="560" w:lineRule="atLeast"/>
        <w:ind w:firstLine="560" w:firstLineChars="200"/>
        <w:rPr>
          <w:rFonts w:ascii="仿宋" w:hAnsi="仿宋" w:eastAsia="仿宋"/>
          <w:bCs/>
          <w:sz w:val="28"/>
          <w:szCs w:val="28"/>
          <w:u w:val="single"/>
        </w:rPr>
      </w:pPr>
      <w:r>
        <w:rPr>
          <w:rFonts w:hint="eastAsia" w:ascii="仿宋" w:hAnsi="仿宋" w:eastAsia="仿宋"/>
          <w:bCs/>
          <w:sz w:val="28"/>
          <w:szCs w:val="28"/>
        </w:rPr>
        <w:t>姓名：</w:t>
      </w:r>
      <w:r>
        <w:rPr>
          <w:rFonts w:hint="eastAsia" w:ascii="仿宋" w:hAnsi="仿宋" w:eastAsia="仿宋"/>
          <w:bCs/>
          <w:sz w:val="28"/>
          <w:szCs w:val="28"/>
          <w:u w:val="single"/>
        </w:rPr>
        <w:t>（法定代表人签字）</w:t>
      </w:r>
      <w:r>
        <w:rPr>
          <w:rFonts w:hint="eastAsia" w:ascii="仿宋" w:hAnsi="仿宋" w:eastAsia="仿宋"/>
          <w:bCs/>
          <w:sz w:val="28"/>
          <w:szCs w:val="28"/>
        </w:rPr>
        <w:t>性别：年龄：职务：</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系</w:t>
      </w:r>
      <w:r>
        <w:rPr>
          <w:rFonts w:hint="eastAsia" w:ascii="仿宋" w:hAnsi="仿宋" w:eastAsia="仿宋"/>
          <w:bCs/>
          <w:sz w:val="28"/>
          <w:szCs w:val="28"/>
          <w:u w:val="single"/>
        </w:rPr>
        <w:t>（</w:t>
      </w:r>
      <w:r>
        <w:rPr>
          <w:rFonts w:hint="eastAsia" w:ascii="仿宋" w:hAnsi="仿宋" w:eastAsia="仿宋"/>
          <w:bCs/>
          <w:sz w:val="28"/>
          <w:szCs w:val="28"/>
          <w:u w:val="single"/>
          <w:lang w:eastAsia="zh-CN"/>
        </w:rPr>
        <w:t>比选申请人</w:t>
      </w:r>
      <w:r>
        <w:rPr>
          <w:rFonts w:hint="eastAsia" w:ascii="仿宋" w:hAnsi="仿宋" w:eastAsia="仿宋"/>
          <w:bCs/>
          <w:sz w:val="28"/>
          <w:szCs w:val="28"/>
          <w:u w:val="single"/>
        </w:rPr>
        <w:t>名称）</w:t>
      </w:r>
      <w:r>
        <w:rPr>
          <w:rFonts w:hint="eastAsia" w:ascii="仿宋" w:hAnsi="仿宋" w:eastAsia="仿宋"/>
          <w:bCs/>
          <w:sz w:val="28"/>
          <w:szCs w:val="28"/>
        </w:rPr>
        <w:t>的法定代表人。</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特此证明。</w:t>
      </w:r>
    </w:p>
    <w:p>
      <w:pPr>
        <w:pStyle w:val="6"/>
        <w:spacing w:line="56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附：法定代表人身份证影印件（彩色或黑白）。</w:t>
      </w:r>
    </w:p>
    <w:p>
      <w:pPr>
        <w:pStyle w:val="6"/>
        <w:spacing w:line="560" w:lineRule="atLeast"/>
        <w:ind w:left="994" w:firstLine="560" w:firstLineChars="200"/>
        <w:rPr>
          <w:rFonts w:ascii="仿宋" w:hAnsi="仿宋" w:eastAsia="仿宋"/>
          <w:sz w:val="28"/>
          <w:szCs w:val="28"/>
        </w:rPr>
      </w:pPr>
    </w:p>
    <w:p>
      <w:pPr>
        <w:pStyle w:val="6"/>
        <w:spacing w:line="560" w:lineRule="atLeast"/>
        <w:ind w:left="994" w:firstLine="560" w:firstLineChars="200"/>
        <w:rPr>
          <w:rFonts w:ascii="仿宋" w:hAnsi="仿宋" w:eastAsia="仿宋"/>
          <w:sz w:val="28"/>
          <w:szCs w:val="28"/>
        </w:rPr>
      </w:pPr>
    </w:p>
    <w:p>
      <w:pPr>
        <w:pStyle w:val="6"/>
        <w:spacing w:line="560" w:lineRule="atLeast"/>
        <w:ind w:left="994" w:firstLine="560" w:firstLineChars="200"/>
        <w:rPr>
          <w:rFonts w:ascii="仿宋" w:hAnsi="仿宋" w:eastAsia="仿宋"/>
          <w:sz w:val="28"/>
          <w:szCs w:val="28"/>
        </w:rPr>
      </w:pPr>
    </w:p>
    <w:p>
      <w:pPr>
        <w:pStyle w:val="6"/>
        <w:spacing w:line="560" w:lineRule="atLeast"/>
        <w:ind w:left="994" w:firstLine="560" w:firstLineChars="200"/>
        <w:rPr>
          <w:rFonts w:ascii="仿宋" w:hAnsi="仿宋" w:eastAsia="仿宋"/>
          <w:sz w:val="28"/>
          <w:szCs w:val="28"/>
        </w:rPr>
      </w:pPr>
    </w:p>
    <w:p>
      <w:pPr>
        <w:pStyle w:val="6"/>
        <w:tabs>
          <w:tab w:val="left" w:pos="6730"/>
        </w:tabs>
        <w:spacing w:line="560" w:lineRule="atLeast"/>
        <w:ind w:left="982" w:leftChars="304" w:right="1843" w:rightChars="576" w:hanging="9"/>
        <w:jc w:val="right"/>
        <w:rPr>
          <w:rFonts w:ascii="仿宋" w:hAnsi="仿宋" w:eastAsia="仿宋"/>
          <w:sz w:val="28"/>
          <w:szCs w:val="28"/>
        </w:rPr>
      </w:pPr>
      <w:r>
        <w:rPr>
          <w:rFonts w:hint="eastAsia" w:ascii="仿宋" w:hAnsi="仿宋" w:eastAsia="仿宋"/>
          <w:sz w:val="28"/>
          <w:szCs w:val="28"/>
          <w:lang w:eastAsia="zh-CN"/>
        </w:rPr>
        <w:t>比选申请人</w:t>
      </w:r>
      <w:r>
        <w:rPr>
          <w:rFonts w:hint="eastAsia" w:ascii="仿宋" w:hAnsi="仿宋" w:eastAsia="仿宋"/>
          <w:sz w:val="28"/>
          <w:szCs w:val="28"/>
        </w:rPr>
        <w:t>：（盖单位章）</w:t>
      </w:r>
    </w:p>
    <w:p>
      <w:pPr>
        <w:pStyle w:val="6"/>
        <w:tabs>
          <w:tab w:val="left" w:pos="6730"/>
        </w:tabs>
        <w:spacing w:line="560" w:lineRule="atLeast"/>
        <w:ind w:left="982" w:leftChars="304" w:right="1843" w:rightChars="576" w:hanging="9"/>
        <w:jc w:val="right"/>
        <w:rPr>
          <w:rFonts w:ascii="仿宋" w:hAnsi="仿宋" w:eastAsia="仿宋"/>
          <w:sz w:val="28"/>
          <w:szCs w:val="28"/>
        </w:rPr>
      </w:pPr>
      <w:r>
        <w:rPr>
          <w:rFonts w:hint="eastAsia" w:ascii="仿宋" w:hAnsi="仿宋" w:eastAsia="仿宋"/>
          <w:sz w:val="28"/>
          <w:szCs w:val="28"/>
        </w:rPr>
        <w:t>年月日</w:t>
      </w:r>
    </w:p>
    <w:p>
      <w:pPr>
        <w:rPr>
          <w:rFonts w:ascii="仿宋" w:hAnsi="仿宋" w:eastAsia="仿宋"/>
          <w:sz w:val="28"/>
          <w:szCs w:val="28"/>
        </w:rPr>
      </w:pPr>
    </w:p>
    <w:p>
      <w:pPr>
        <w:pStyle w:val="6"/>
      </w:pPr>
    </w:p>
    <w:p>
      <w:pPr>
        <w:pStyle w:val="6"/>
        <w:spacing w:line="560" w:lineRule="atLeast"/>
        <w:ind w:left="14" w:hanging="14" w:hangingChars="5"/>
        <w:rPr>
          <w:rFonts w:ascii="仿宋" w:hAnsi="仿宋" w:eastAsia="仿宋"/>
          <w:b/>
          <w:sz w:val="32"/>
          <w:szCs w:val="32"/>
        </w:rPr>
        <w:sectPr>
          <w:footerReference r:id="rId3" w:type="default"/>
          <w:pgSz w:w="11910" w:h="16840"/>
          <w:pgMar w:top="1134" w:right="1134" w:bottom="1134" w:left="1417" w:header="720" w:footer="720" w:gutter="0"/>
          <w:cols w:space="720" w:num="1"/>
        </w:sectPr>
      </w:pPr>
      <w:r>
        <w:rPr>
          <w:rFonts w:ascii="仿宋" w:hAnsi="仿宋" w:eastAsia="仿宋"/>
          <w:b/>
          <w:bCs/>
          <w:sz w:val="28"/>
          <w:szCs w:val="28"/>
        </w:rPr>
        <w:t>注：法定代表人的签字必须是亲笔签名，不得使用印章、签名章或其他电子制版签名代替。</w:t>
      </w:r>
    </w:p>
    <w:p>
      <w:pPr>
        <w:ind w:firstLine="643" w:firstLineChars="200"/>
        <w:jc w:val="center"/>
        <w:rPr>
          <w:rFonts w:ascii="仿宋" w:hAnsi="仿宋" w:eastAsia="仿宋"/>
          <w:b/>
        </w:rPr>
      </w:pPr>
      <w:r>
        <w:rPr>
          <w:rFonts w:hint="eastAsia" w:ascii="仿宋" w:hAnsi="仿宋" w:eastAsia="仿宋"/>
          <w:b/>
        </w:rPr>
        <w:t>三．</w:t>
      </w:r>
      <w:r>
        <w:rPr>
          <w:rFonts w:hint="eastAsia" w:ascii="仿宋" w:hAnsi="仿宋" w:eastAsia="仿宋"/>
          <w:b/>
          <w:lang w:eastAsia="zh-CN"/>
        </w:rPr>
        <w:t>比选申请人</w:t>
      </w:r>
      <w:r>
        <w:rPr>
          <w:rFonts w:hint="eastAsia" w:ascii="仿宋" w:hAnsi="仿宋" w:eastAsia="仿宋"/>
          <w:b/>
        </w:rPr>
        <w:t>营业执照复印件</w:t>
      </w:r>
    </w:p>
    <w:p>
      <w:pPr>
        <w:pStyle w:val="6"/>
        <w:spacing w:line="360" w:lineRule="auto"/>
        <w:ind w:firstLine="640" w:firstLineChars="200"/>
        <w:rPr>
          <w:rFonts w:ascii="仿宋" w:hAnsi="仿宋" w:eastAsia="仿宋"/>
          <w:sz w:val="32"/>
          <w:szCs w:val="32"/>
        </w:rPr>
      </w:pPr>
    </w:p>
    <w:p>
      <w:pPr>
        <w:tabs>
          <w:tab w:val="left" w:pos="495"/>
        </w:tabs>
        <w:rPr>
          <w:rFonts w:ascii="仿宋" w:hAnsi="仿宋" w:eastAsia="仿宋"/>
        </w:rPr>
        <w:sectPr>
          <w:pgSz w:w="11910" w:h="16840"/>
          <w:pgMar w:top="1134" w:right="1134" w:bottom="1134" w:left="1417" w:header="794" w:footer="794" w:gutter="0"/>
          <w:cols w:space="720" w:num="1"/>
        </w:sectPr>
      </w:pPr>
      <w:r>
        <w:rPr>
          <w:rFonts w:ascii="仿宋" w:hAnsi="仿宋" w:eastAsia="仿宋"/>
        </w:rPr>
        <w:tab/>
      </w:r>
    </w:p>
    <w:p>
      <w:pPr>
        <w:rPr>
          <w:rFonts w:ascii="仿宋" w:hAnsi="仿宋" w:eastAsia="仿宋"/>
          <w:bCs/>
        </w:rPr>
      </w:pPr>
    </w:p>
    <w:p>
      <w:pPr>
        <w:pStyle w:val="6"/>
        <w:spacing w:before="7"/>
        <w:jc w:val="center"/>
        <w:rPr>
          <w:rFonts w:ascii="仿宋" w:hAnsi="仿宋" w:eastAsia="仿宋"/>
          <w:b/>
          <w:sz w:val="32"/>
          <w:szCs w:val="32"/>
        </w:rPr>
      </w:pPr>
      <w:r>
        <w:rPr>
          <w:rFonts w:hint="eastAsia" w:ascii="仿宋" w:hAnsi="仿宋" w:eastAsia="仿宋"/>
          <w:b/>
          <w:sz w:val="32"/>
          <w:szCs w:val="32"/>
        </w:rPr>
        <w:t>四、</w:t>
      </w:r>
      <w:r>
        <w:rPr>
          <w:rFonts w:hint="eastAsia" w:ascii="仿宋" w:hAnsi="仿宋" w:eastAsia="仿宋"/>
          <w:b/>
          <w:sz w:val="32"/>
          <w:szCs w:val="32"/>
          <w:lang w:eastAsia="zh-CN"/>
        </w:rPr>
        <w:t>比选申请人</w:t>
      </w:r>
      <w:r>
        <w:rPr>
          <w:rFonts w:ascii="仿宋" w:hAnsi="仿宋" w:eastAsia="仿宋"/>
          <w:b/>
          <w:sz w:val="32"/>
          <w:szCs w:val="32"/>
        </w:rPr>
        <w:t>信誉情况</w:t>
      </w:r>
    </w:p>
    <w:p>
      <w:pPr>
        <w:pStyle w:val="6"/>
        <w:spacing w:line="360" w:lineRule="auto"/>
        <w:ind w:firstLine="640" w:firstLineChars="200"/>
        <w:rPr>
          <w:rFonts w:ascii="仿宋" w:hAnsi="仿宋" w:eastAsia="仿宋"/>
          <w:sz w:val="32"/>
          <w:szCs w:val="32"/>
        </w:rPr>
      </w:pPr>
    </w:p>
    <w:p>
      <w:pPr>
        <w:spacing w:line="560" w:lineRule="atLeast"/>
        <w:ind w:firstLine="560" w:firstLineChars="200"/>
        <w:rPr>
          <w:rFonts w:ascii="仿宋" w:hAnsi="仿宋" w:eastAsia="仿宋"/>
          <w:kern w:val="0"/>
          <w:sz w:val="28"/>
          <w:szCs w:val="28"/>
        </w:rPr>
      </w:pPr>
      <w:r>
        <w:rPr>
          <w:rFonts w:ascii="仿宋" w:hAnsi="仿宋" w:eastAsia="仿宋"/>
          <w:sz w:val="28"/>
          <w:szCs w:val="28"/>
        </w:rPr>
        <w:t>1</w:t>
      </w:r>
      <w:r>
        <w:rPr>
          <w:rFonts w:hint="eastAsia" w:ascii="仿宋" w:hAnsi="仿宋" w:eastAsia="仿宋"/>
          <w:sz w:val="28"/>
          <w:szCs w:val="28"/>
        </w:rPr>
        <w:t>.在“信用中国”网站（</w:t>
      </w:r>
      <w:r>
        <w:rPr>
          <w:rFonts w:hint="eastAsia" w:ascii="仿宋" w:hAnsi="仿宋" w:eastAsia="仿宋" w:cs="宋体"/>
          <w:sz w:val="28"/>
          <w:szCs w:val="28"/>
        </w:rPr>
        <w:t>http：//www.creditchina.gov.cn/</w:t>
      </w:r>
      <w:r>
        <w:rPr>
          <w:rFonts w:hint="eastAsia" w:ascii="仿宋" w:hAnsi="仿宋" w:eastAsia="仿宋"/>
          <w:sz w:val="28"/>
          <w:szCs w:val="28"/>
        </w:rPr>
        <w:t>）中</w:t>
      </w:r>
      <w:r>
        <w:rPr>
          <w:rFonts w:ascii="仿宋" w:hAnsi="仿宋" w:eastAsia="仿宋"/>
          <w:sz w:val="28"/>
          <w:szCs w:val="28"/>
        </w:rPr>
        <w:t>末被列入失信被执行人名单的查询截图资料</w:t>
      </w:r>
      <w:r>
        <w:rPr>
          <w:rFonts w:hint="eastAsia" w:ascii="仿宋" w:hAnsi="仿宋" w:eastAsia="仿宋"/>
          <w:sz w:val="28"/>
          <w:szCs w:val="28"/>
        </w:rPr>
        <w:t>；</w:t>
      </w: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比选申请人</w:t>
      </w:r>
      <w:r>
        <w:rPr>
          <w:rFonts w:hint="eastAsia" w:ascii="仿宋" w:hAnsi="仿宋" w:eastAsia="仿宋"/>
          <w:sz w:val="28"/>
          <w:szCs w:val="28"/>
        </w:rPr>
        <w:t>（单位）或法定代表人、项目负责人、技术负责人近三年（在2020年1月1日至本项目招标公告发布日之间有行贿犯罪档案记录的，招标人不接受其投标（后附无行贿犯罪记录的承诺函格式）。</w:t>
      </w:r>
    </w:p>
    <w:p>
      <w:pPr>
        <w:spacing w:line="560" w:lineRule="atLeast"/>
        <w:ind w:firstLine="560" w:firstLineChars="200"/>
        <w:jc w:val="center"/>
        <w:rPr>
          <w:rFonts w:ascii="仿宋" w:hAnsi="仿宋" w:eastAsia="仿宋"/>
          <w:bCs/>
          <w:sz w:val="28"/>
          <w:szCs w:val="28"/>
        </w:rPr>
      </w:pPr>
    </w:p>
    <w:p>
      <w:pPr>
        <w:tabs>
          <w:tab w:val="center" w:pos="4153"/>
        </w:tabs>
        <w:rPr>
          <w:rFonts w:ascii="仿宋" w:hAnsi="仿宋" w:eastAsia="仿宋"/>
        </w:rPr>
        <w:sectPr>
          <w:pgSz w:w="11906" w:h="16838"/>
          <w:pgMar w:top="1440" w:right="1800" w:bottom="1440" w:left="1800" w:header="851" w:footer="992" w:gutter="0"/>
          <w:cols w:space="720" w:num="1"/>
          <w:docGrid w:type="lines" w:linePitch="312" w:charSpace="0"/>
        </w:sectPr>
      </w:pPr>
      <w:r>
        <w:rPr>
          <w:rFonts w:ascii="仿宋" w:hAnsi="仿宋" w:eastAsia="仿宋"/>
        </w:rPr>
        <w:tab/>
      </w:r>
    </w:p>
    <w:p>
      <w:pPr>
        <w:ind w:firstLine="640" w:firstLineChars="200"/>
        <w:jc w:val="left"/>
        <w:rPr>
          <w:rFonts w:ascii="仿宋" w:hAnsi="仿宋" w:eastAsia="仿宋"/>
        </w:rPr>
      </w:pPr>
    </w:p>
    <w:p>
      <w:pPr>
        <w:pStyle w:val="6"/>
        <w:spacing w:before="7"/>
        <w:jc w:val="center"/>
        <w:rPr>
          <w:rFonts w:ascii="仿宋" w:hAnsi="仿宋" w:eastAsia="仿宋"/>
          <w:b/>
          <w:sz w:val="32"/>
          <w:szCs w:val="32"/>
        </w:rPr>
      </w:pPr>
      <w:r>
        <w:rPr>
          <w:rFonts w:hint="eastAsia" w:ascii="仿宋" w:hAnsi="仿宋" w:eastAsia="仿宋"/>
          <w:b/>
          <w:sz w:val="32"/>
          <w:szCs w:val="32"/>
        </w:rPr>
        <w:t>五、无</w:t>
      </w:r>
      <w:r>
        <w:rPr>
          <w:rFonts w:ascii="仿宋" w:hAnsi="仿宋" w:eastAsia="仿宋"/>
          <w:b/>
          <w:sz w:val="32"/>
          <w:szCs w:val="32"/>
        </w:rPr>
        <w:t>行贿犯罪档案记录承诺函</w:t>
      </w:r>
    </w:p>
    <w:p>
      <w:pPr>
        <w:pStyle w:val="6"/>
        <w:rPr>
          <w:rFonts w:ascii="仿宋" w:hAnsi="仿宋" w:eastAsia="仿宋"/>
          <w:b/>
          <w:sz w:val="32"/>
          <w:szCs w:val="32"/>
        </w:rPr>
      </w:pPr>
    </w:p>
    <w:p>
      <w:pPr>
        <w:pStyle w:val="6"/>
        <w:spacing w:line="560" w:lineRule="atLeast"/>
        <w:ind w:firstLine="560" w:firstLineChars="200"/>
        <w:rPr>
          <w:rFonts w:ascii="仿宋" w:hAnsi="仿宋" w:eastAsia="仿宋"/>
          <w:sz w:val="28"/>
          <w:szCs w:val="28"/>
          <w:u w:val="single"/>
        </w:rPr>
      </w:pPr>
      <w:r>
        <w:rPr>
          <w:rFonts w:hint="eastAsia" w:ascii="仿宋" w:hAnsi="仿宋" w:eastAsia="仿宋"/>
          <w:sz w:val="28"/>
          <w:szCs w:val="28"/>
          <w:u w:val="single"/>
          <w:lang w:eastAsia="zh-CN"/>
        </w:rPr>
        <w:t>比选</w:t>
      </w:r>
      <w:r>
        <w:rPr>
          <w:rFonts w:hint="eastAsia" w:ascii="仿宋" w:hAnsi="仿宋" w:eastAsia="仿宋"/>
          <w:sz w:val="28"/>
          <w:szCs w:val="28"/>
          <w:u w:val="single"/>
        </w:rPr>
        <w:t>人全称</w:t>
      </w:r>
    </w:p>
    <w:p>
      <w:pPr>
        <w:pStyle w:val="6"/>
        <w:spacing w:line="560" w:lineRule="atLeast"/>
        <w:ind w:firstLine="560" w:firstLineChars="200"/>
        <w:rPr>
          <w:rFonts w:ascii="仿宋" w:hAnsi="仿宋" w:eastAsia="仿宋"/>
          <w:sz w:val="28"/>
          <w:szCs w:val="28"/>
        </w:rPr>
      </w:pPr>
    </w:p>
    <w:p>
      <w:pPr>
        <w:pStyle w:val="6"/>
        <w:tabs>
          <w:tab w:val="left" w:pos="1416"/>
          <w:tab w:val="left" w:pos="3053"/>
          <w:tab w:val="left" w:pos="6601"/>
        </w:tabs>
        <w:spacing w:line="560" w:lineRule="atLeast"/>
        <w:ind w:firstLine="560" w:firstLineChars="200"/>
        <w:rPr>
          <w:rFonts w:ascii="仿宋" w:hAnsi="仿宋" w:eastAsia="仿宋"/>
          <w:sz w:val="28"/>
          <w:szCs w:val="28"/>
        </w:rPr>
      </w:pPr>
      <w:r>
        <w:rPr>
          <w:rFonts w:hint="eastAsia" w:ascii="仿宋" w:hAnsi="仿宋" w:eastAsia="仿宋"/>
          <w:sz w:val="28"/>
          <w:szCs w:val="28"/>
        </w:rPr>
        <w:t>我公司（</w:t>
      </w:r>
      <w:r>
        <w:rPr>
          <w:rFonts w:hint="eastAsia" w:ascii="仿宋" w:hAnsi="仿宋" w:eastAsia="仿宋"/>
          <w:sz w:val="28"/>
          <w:szCs w:val="28"/>
          <w:lang w:eastAsia="zh-CN"/>
        </w:rPr>
        <w:t>比选申请人</w:t>
      </w:r>
      <w:r>
        <w:rPr>
          <w:rFonts w:hint="eastAsia" w:ascii="仿宋" w:hAnsi="仿宋" w:eastAsia="仿宋"/>
          <w:sz w:val="28"/>
          <w:szCs w:val="28"/>
        </w:rPr>
        <w:t>名称）、法定代表人（姓名）</w:t>
      </w:r>
      <w:r>
        <w:rPr>
          <w:rFonts w:hint="eastAsia" w:ascii="仿宋" w:hAnsi="仿宋" w:eastAsia="仿宋"/>
          <w:sz w:val="28"/>
          <w:szCs w:val="28"/>
          <w:u w:val="single"/>
        </w:rPr>
        <w:t>（身份证号）</w:t>
      </w:r>
      <w:r>
        <w:rPr>
          <w:rFonts w:hint="eastAsia" w:ascii="仿宋" w:hAnsi="仿宋" w:eastAsia="仿宋"/>
          <w:sz w:val="28"/>
          <w:szCs w:val="28"/>
        </w:rPr>
        <w:t>项目负责人（姓名）</w:t>
      </w:r>
      <w:r>
        <w:rPr>
          <w:rFonts w:hint="eastAsia" w:ascii="仿宋" w:hAnsi="仿宋" w:eastAsia="仿宋"/>
          <w:sz w:val="28"/>
          <w:szCs w:val="28"/>
          <w:u w:val="single"/>
        </w:rPr>
        <w:t>（身份证号）</w:t>
      </w:r>
      <w:r>
        <w:rPr>
          <w:rFonts w:hint="eastAsia" w:ascii="仿宋" w:hAnsi="仿宋" w:eastAsia="仿宋"/>
          <w:sz w:val="28"/>
          <w:szCs w:val="28"/>
        </w:rPr>
        <w:t>在XXXXX年XXXXXXX月XXXXX日至本项目招标公告发布日之间，承诺无行贿犯罪档案记录。若存在隐瞒的，在中国裁判文书网（</w:t>
      </w:r>
      <w:r>
        <w:fldChar w:fldCharType="begin"/>
      </w:r>
      <w:r>
        <w:instrText xml:space="preserve"> HYPERLINK "http://wenshu.court.gov.cn/" \h </w:instrText>
      </w:r>
      <w:r>
        <w:fldChar w:fldCharType="separate"/>
      </w:r>
      <w:r>
        <w:rPr>
          <w:rFonts w:hint="eastAsia" w:ascii="仿宋" w:hAnsi="仿宋" w:eastAsia="仿宋"/>
          <w:sz w:val="28"/>
          <w:szCs w:val="28"/>
        </w:rPr>
        <w:t>http：//wenshu.court.gov.cn</w:t>
      </w:r>
      <w:r>
        <w:rPr>
          <w:rFonts w:hint="eastAsia" w:ascii="仿宋" w:hAnsi="仿宋" w:eastAsia="仿宋"/>
          <w:sz w:val="28"/>
          <w:szCs w:val="28"/>
        </w:rPr>
        <w:fldChar w:fldCharType="end"/>
      </w:r>
      <w:r>
        <w:rPr>
          <w:rFonts w:hint="eastAsia" w:ascii="仿宋" w:hAnsi="仿宋" w:eastAsia="仿宋"/>
          <w:sz w:val="28"/>
          <w:szCs w:val="28"/>
        </w:rPr>
        <w:t>）上一经查实将不通过资格审查。若在评审后被查实的可取消其中标候选人或中标人资格。若在合同签订后查实的，招标人有权从合同价款或履约保证金中扣除不超过5％签约合同价的金额作为违约金。</w:t>
      </w:r>
    </w:p>
    <w:p>
      <w:pPr>
        <w:pStyle w:val="6"/>
        <w:spacing w:line="560" w:lineRule="atLeast"/>
        <w:ind w:firstLine="560" w:firstLineChars="200"/>
        <w:rPr>
          <w:rFonts w:ascii="仿宋" w:hAnsi="仿宋" w:eastAsia="仿宋"/>
          <w:sz w:val="28"/>
          <w:szCs w:val="28"/>
        </w:rPr>
      </w:pPr>
    </w:p>
    <w:p>
      <w:pPr>
        <w:pStyle w:val="6"/>
        <w:spacing w:line="560" w:lineRule="atLeast"/>
        <w:ind w:firstLine="560" w:firstLineChars="200"/>
        <w:rPr>
          <w:rFonts w:ascii="仿宋" w:hAnsi="仿宋" w:eastAsia="仿宋"/>
          <w:sz w:val="28"/>
          <w:szCs w:val="28"/>
        </w:rPr>
      </w:pPr>
      <w:r>
        <w:rPr>
          <w:rFonts w:hint="eastAsia" w:ascii="仿宋" w:hAnsi="仿宋" w:eastAsia="仿宋"/>
          <w:sz w:val="28"/>
          <w:szCs w:val="28"/>
        </w:rPr>
        <w:t>特此承诺。</w:t>
      </w:r>
    </w:p>
    <w:p>
      <w:pPr>
        <w:pStyle w:val="6"/>
        <w:spacing w:line="560" w:lineRule="atLeast"/>
        <w:ind w:firstLine="560" w:firstLineChars="200"/>
        <w:rPr>
          <w:rFonts w:ascii="仿宋" w:hAnsi="仿宋" w:eastAsia="仿宋"/>
          <w:sz w:val="28"/>
          <w:szCs w:val="28"/>
        </w:rPr>
      </w:pPr>
    </w:p>
    <w:p>
      <w:pPr>
        <w:pStyle w:val="6"/>
        <w:spacing w:line="560" w:lineRule="atLeast"/>
        <w:ind w:firstLine="560" w:firstLineChars="200"/>
        <w:rPr>
          <w:rFonts w:ascii="仿宋" w:hAnsi="仿宋" w:eastAsia="仿宋"/>
          <w:sz w:val="28"/>
          <w:szCs w:val="28"/>
        </w:rPr>
      </w:pPr>
    </w:p>
    <w:p>
      <w:pPr>
        <w:pStyle w:val="6"/>
        <w:tabs>
          <w:tab w:val="left" w:pos="8344"/>
        </w:tabs>
        <w:spacing w:line="560" w:lineRule="atLeast"/>
        <w:ind w:left="5440" w:leftChars="1700" w:firstLine="560" w:firstLineChars="200"/>
        <w:rPr>
          <w:rFonts w:ascii="仿宋" w:hAnsi="仿宋" w:eastAsia="仿宋"/>
          <w:sz w:val="28"/>
          <w:szCs w:val="28"/>
        </w:rPr>
      </w:pPr>
      <w:r>
        <w:rPr>
          <w:rFonts w:hint="eastAsia" w:ascii="仿宋" w:hAnsi="仿宋" w:eastAsia="仿宋"/>
          <w:sz w:val="28"/>
          <w:szCs w:val="28"/>
          <w:lang w:eastAsia="zh-CN"/>
        </w:rPr>
        <w:t>比选申请人</w:t>
      </w:r>
      <w:r>
        <w:rPr>
          <w:rFonts w:hint="eastAsia" w:ascii="仿宋" w:hAnsi="仿宋" w:eastAsia="仿宋"/>
          <w:sz w:val="28"/>
          <w:szCs w:val="28"/>
        </w:rPr>
        <w:t>：（盖单位章）</w:t>
      </w:r>
    </w:p>
    <w:p>
      <w:pPr>
        <w:pStyle w:val="6"/>
        <w:tabs>
          <w:tab w:val="left" w:pos="8661"/>
        </w:tabs>
        <w:spacing w:line="560" w:lineRule="atLeast"/>
        <w:jc w:val="right"/>
        <w:rPr>
          <w:rFonts w:ascii="仿宋" w:hAnsi="仿宋" w:eastAsia="仿宋"/>
          <w:sz w:val="28"/>
          <w:szCs w:val="28"/>
        </w:rPr>
      </w:pPr>
      <w:r>
        <w:rPr>
          <w:rFonts w:hint="eastAsia" w:ascii="仿宋" w:hAnsi="仿宋" w:eastAsia="仿宋"/>
          <w:sz w:val="28"/>
          <w:szCs w:val="28"/>
        </w:rPr>
        <w:t>法定代表人或其委托代理人：（签字）</w:t>
      </w:r>
    </w:p>
    <w:p>
      <w:pPr>
        <w:spacing w:line="560" w:lineRule="atLeast"/>
        <w:ind w:firstLine="6720" w:firstLineChars="2100"/>
        <w:rPr>
          <w:rFonts w:ascii="仿宋" w:hAnsi="仿宋" w:eastAsia="仿宋"/>
        </w:rPr>
      </w:pPr>
      <w:r>
        <w:rPr>
          <w:rFonts w:hint="eastAsia" w:ascii="仿宋" w:hAnsi="仿宋" w:eastAsia="仿宋"/>
        </w:rPr>
        <w:t>年月日</w:t>
      </w:r>
      <w:r>
        <w:rPr>
          <w:rFonts w:hint="eastAsia" w:ascii="仿宋" w:hAnsi="仿宋" w:eastAsia="仿宋"/>
        </w:rPr>
        <w:br w:type="page"/>
      </w:r>
    </w:p>
    <w:p>
      <w:pPr>
        <w:pStyle w:val="6"/>
      </w:pPr>
    </w:p>
    <w:p>
      <w:pPr>
        <w:jc w:val="center"/>
        <w:rPr>
          <w:rFonts w:ascii="仿宋" w:hAnsi="仿宋" w:eastAsia="仿宋"/>
          <w:b/>
        </w:rPr>
      </w:pPr>
      <w:r>
        <w:rPr>
          <w:rFonts w:hint="eastAsia" w:ascii="仿宋" w:hAnsi="仿宋" w:eastAsia="仿宋"/>
          <w:b/>
        </w:rPr>
        <w:t>六、技术建议书</w:t>
      </w:r>
    </w:p>
    <w:p>
      <w:pPr>
        <w:pStyle w:val="6"/>
        <w:spacing w:line="360" w:lineRule="auto"/>
        <w:rPr>
          <w:rFonts w:ascii="仿宋" w:hAnsi="仿宋" w:eastAsia="仿宋"/>
          <w:sz w:val="32"/>
          <w:szCs w:val="32"/>
        </w:rPr>
      </w:pPr>
    </w:p>
    <w:p>
      <w:pPr>
        <w:pStyle w:val="6"/>
        <w:spacing w:line="360" w:lineRule="auto"/>
        <w:rPr>
          <w:rFonts w:ascii="仿宋" w:hAnsi="仿宋" w:eastAsia="仿宋"/>
          <w:sz w:val="28"/>
          <w:szCs w:val="28"/>
        </w:rPr>
      </w:pPr>
      <w:r>
        <w:rPr>
          <w:rFonts w:ascii="仿宋" w:hAnsi="仿宋" w:eastAsia="仿宋"/>
          <w:sz w:val="28"/>
          <w:szCs w:val="28"/>
        </w:rPr>
        <w:t>技术建议书应包括但不限于以下内容：</w:t>
      </w:r>
    </w:p>
    <w:p>
      <w:pPr>
        <w:keepNext w:val="0"/>
        <w:keepLines w:val="0"/>
        <w:pageBreakBefore w:val="0"/>
        <w:widowControl w:val="0"/>
        <w:kinsoku/>
        <w:wordWrap/>
        <w:overflowPunct/>
        <w:topLinePunct w:val="0"/>
        <w:autoSpaceDE/>
        <w:autoSpaceDN/>
        <w:bidi w:val="0"/>
        <w:adjustRightInd/>
        <w:snapToGrid/>
        <w:spacing w:after="0" w:afterLines="100"/>
        <w:textAlignment w:val="auto"/>
        <w:rPr>
          <w:rFonts w:ascii="仿宋" w:hAnsi="仿宋" w:eastAsia="仿宋"/>
          <w:b/>
          <w:bCs/>
          <w:sz w:val="28"/>
          <w:szCs w:val="28"/>
        </w:rPr>
      </w:pPr>
      <w:r>
        <w:rPr>
          <w:rFonts w:ascii="仿宋" w:hAnsi="仿宋" w:eastAsia="仿宋"/>
          <w:b/>
          <w:bCs/>
          <w:sz w:val="28"/>
          <w:szCs w:val="28"/>
        </w:rPr>
        <w:t>（一）</w:t>
      </w:r>
      <w:r>
        <w:rPr>
          <w:rFonts w:hint="eastAsia" w:ascii="仿宋" w:hAnsi="仿宋" w:eastAsia="仿宋"/>
          <w:b/>
          <w:bCs/>
          <w:sz w:val="28"/>
          <w:szCs w:val="28"/>
        </w:rPr>
        <w:t>对招标项目的理解</w:t>
      </w:r>
    </w:p>
    <w:p>
      <w:pPr>
        <w:keepNext w:val="0"/>
        <w:keepLines w:val="0"/>
        <w:pageBreakBefore w:val="0"/>
        <w:widowControl w:val="0"/>
        <w:kinsoku/>
        <w:wordWrap/>
        <w:overflowPunct/>
        <w:topLinePunct w:val="0"/>
        <w:autoSpaceDE/>
        <w:autoSpaceDN/>
        <w:bidi w:val="0"/>
        <w:adjustRightInd/>
        <w:snapToGrid/>
        <w:spacing w:after="0" w:afterLines="100"/>
        <w:textAlignment w:val="auto"/>
        <w:rPr>
          <w:rFonts w:ascii="仿宋" w:hAnsi="仿宋" w:eastAsia="仿宋"/>
          <w:b/>
          <w:bCs/>
          <w:sz w:val="28"/>
          <w:szCs w:val="28"/>
        </w:rPr>
      </w:pPr>
      <w:r>
        <w:rPr>
          <w:rFonts w:hint="eastAsia" w:ascii="仿宋" w:hAnsi="仿宋" w:eastAsia="仿宋"/>
          <w:b/>
          <w:bCs/>
          <w:sz w:val="28"/>
          <w:szCs w:val="28"/>
        </w:rPr>
        <w:t>（二）质量保证措施</w:t>
      </w:r>
    </w:p>
    <w:p>
      <w:pPr>
        <w:keepNext w:val="0"/>
        <w:keepLines w:val="0"/>
        <w:pageBreakBefore w:val="0"/>
        <w:widowControl w:val="0"/>
        <w:kinsoku/>
        <w:wordWrap/>
        <w:overflowPunct/>
        <w:topLinePunct w:val="0"/>
        <w:autoSpaceDE/>
        <w:autoSpaceDN/>
        <w:bidi w:val="0"/>
        <w:adjustRightInd/>
        <w:snapToGrid/>
        <w:spacing w:after="0" w:afterLines="100"/>
        <w:textAlignment w:val="auto"/>
        <w:rPr>
          <w:rFonts w:ascii="仿宋" w:hAnsi="仿宋" w:eastAsia="仿宋"/>
          <w:b/>
          <w:bCs/>
          <w:sz w:val="28"/>
          <w:szCs w:val="28"/>
        </w:rPr>
      </w:pPr>
      <w:r>
        <w:rPr>
          <w:rFonts w:hint="eastAsia" w:ascii="仿宋" w:hAnsi="仿宋" w:eastAsia="仿宋"/>
          <w:b/>
          <w:bCs/>
          <w:sz w:val="28"/>
          <w:szCs w:val="28"/>
        </w:rPr>
        <w:t>（三）对本项目的建议</w:t>
      </w:r>
    </w:p>
    <w:p>
      <w:pPr>
        <w:ind w:firstLine="3078" w:firstLineChars="1095"/>
        <w:rPr>
          <w:rFonts w:ascii="仿宋" w:hAnsi="仿宋" w:eastAsia="仿宋"/>
          <w:b/>
          <w:sz w:val="28"/>
          <w:szCs w:val="28"/>
        </w:rPr>
        <w:sectPr>
          <w:headerReference r:id="rId4" w:type="default"/>
          <w:pgSz w:w="11910" w:h="16840"/>
          <w:pgMar w:top="1134" w:right="1134" w:bottom="1134" w:left="1417" w:header="794" w:footer="794" w:gutter="0"/>
          <w:cols w:space="720" w:num="1"/>
        </w:sectPr>
      </w:pPr>
    </w:p>
    <w:p>
      <w:pPr>
        <w:numPr>
          <w:ilvl w:val="0"/>
          <w:numId w:val="14"/>
        </w:numPr>
        <w:jc w:val="center"/>
        <w:rPr>
          <w:rFonts w:ascii="仿宋" w:hAnsi="仿宋" w:eastAsia="仿宋"/>
          <w:b/>
        </w:rPr>
      </w:pPr>
      <w:r>
        <w:rPr>
          <w:rFonts w:hint="eastAsia" w:ascii="仿宋" w:hAnsi="仿宋" w:eastAsia="仿宋"/>
          <w:b/>
        </w:rPr>
        <w:t>业绩证明</w:t>
      </w:r>
    </w:p>
    <w:p>
      <w:pPr>
        <w:pStyle w:val="2"/>
        <w:ind w:left="0" w:leftChars="0" w:firstLine="405" w:firstLineChars="150"/>
      </w:pPr>
      <w:r>
        <w:rPr>
          <w:rFonts w:hint="eastAsia" w:eastAsiaTheme="minorEastAsia"/>
          <w:spacing w:val="-5"/>
          <w:sz w:val="28"/>
          <w:szCs w:val="28"/>
        </w:rPr>
        <w:t>提供近3年（2020年1月1日起）新承接或在建或已完成电力工程合同业绩1个，合同金额</w:t>
      </w:r>
      <w:r>
        <w:rPr>
          <w:rFonts w:hint="eastAsia" w:eastAsiaTheme="minorEastAsia"/>
          <w:spacing w:val="-5"/>
          <w:sz w:val="28"/>
          <w:szCs w:val="28"/>
          <w:lang w:val="en-US" w:eastAsia="zh-CN"/>
        </w:rPr>
        <w:t>100</w:t>
      </w:r>
      <w:r>
        <w:rPr>
          <w:rFonts w:hint="eastAsia" w:eastAsiaTheme="minorEastAsia"/>
          <w:spacing w:val="-5"/>
          <w:sz w:val="28"/>
          <w:szCs w:val="28"/>
        </w:rPr>
        <w:t>万元及以上（提供合同、验收报告复印件加盖公章）</w:t>
      </w:r>
      <w:r>
        <w:rPr>
          <w:rFonts w:hint="eastAsia" w:ascii="仿宋" w:hAnsi="仿宋" w:eastAsia="仿宋"/>
          <w:sz w:val="28"/>
          <w:szCs w:val="28"/>
        </w:rPr>
        <w:t>）；</w:t>
      </w:r>
    </w:p>
    <w:p>
      <w:pPr>
        <w:rPr>
          <w:rFonts w:ascii="仿宋" w:hAnsi="仿宋" w:eastAsia="仿宋"/>
          <w:b/>
        </w:rPr>
      </w:pPr>
      <w:r>
        <w:rPr>
          <w:rFonts w:hint="eastAsia" w:ascii="仿宋" w:hAnsi="仿宋" w:eastAsia="仿宋"/>
          <w:b/>
        </w:rPr>
        <w:br w:type="page"/>
      </w:r>
    </w:p>
    <w:p>
      <w:pPr>
        <w:pStyle w:val="2"/>
        <w:ind w:left="640"/>
      </w:pPr>
    </w:p>
    <w:p>
      <w:pPr>
        <w:jc w:val="center"/>
        <w:rPr>
          <w:rFonts w:ascii="仿宋" w:hAnsi="仿宋" w:eastAsia="仿宋"/>
          <w:b/>
        </w:rPr>
      </w:pPr>
      <w:r>
        <w:rPr>
          <w:rFonts w:hint="eastAsia" w:ascii="仿宋" w:hAnsi="仿宋" w:eastAsia="仿宋"/>
          <w:b/>
        </w:rPr>
        <w:t>八、其他资料</w:t>
      </w:r>
    </w:p>
    <w:p>
      <w:pPr>
        <w:jc w:val="left"/>
        <w:rPr>
          <w:rFonts w:ascii="仿宋" w:hAnsi="仿宋" w:eastAsia="仿宋"/>
          <w:b/>
        </w:rPr>
      </w:pPr>
    </w:p>
    <w:p>
      <w:pPr>
        <w:pStyle w:val="31"/>
        <w:tabs>
          <w:tab w:val="left" w:pos="958"/>
        </w:tabs>
        <w:ind w:left="640" w:leftChars="200" w:firstLine="0" w:firstLineChars="0"/>
      </w:pPr>
      <w:r>
        <w:rPr>
          <w:rFonts w:hint="eastAsia" w:ascii="仿宋" w:hAnsi="仿宋" w:eastAsia="仿宋"/>
          <w:sz w:val="28"/>
          <w:szCs w:val="28"/>
          <w:lang w:eastAsia="zh-CN"/>
        </w:rPr>
        <w:t>比选申请人</w:t>
      </w:r>
      <w:r>
        <w:rPr>
          <w:rFonts w:hint="eastAsia" w:ascii="仿宋" w:hAnsi="仿宋" w:eastAsia="仿宋"/>
          <w:sz w:val="28"/>
          <w:szCs w:val="28"/>
        </w:rPr>
        <w:t>提供的其他材料（若有）</w:t>
      </w:r>
    </w:p>
    <w:p/>
    <w:sectPr>
      <w:headerReference r:id="rId5" w:type="default"/>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3668395</wp:posOffset>
              </wp:positionH>
              <wp:positionV relativeFrom="page">
                <wp:posOffset>9791700</wp:posOffset>
              </wp:positionV>
              <wp:extent cx="222250" cy="152400"/>
              <wp:effectExtent l="0" t="0" r="0" b="0"/>
              <wp:wrapNone/>
              <wp:docPr id="40" name="文本框 2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17</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88.85pt;margin-top:771pt;height:12pt;width:17.5pt;mso-position-horizontal-relative:page;mso-position-vertical-relative:page;z-index:-251657216;mso-width-relative:page;mso-height-relative:page;" filled="f" stroked="f" coordsize="21600,21600" o:gfxdata="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AfeIzaAAAADQEAAA8AAAAAAAAAAQAgAAAAIgAAAGRycy9kb3ducmV2&#10;LnhtbFBLAQIUABQAAAAIAIdO4kAUb0fTwQEAAHwDAAAOAAAAAAAAAAEAIAAAACkBAABkcnMvZTJv&#10;RG9jLnhtbFBLBQYAAAAABgAGAFkBAABcBQ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73401"/>
    <w:multiLevelType w:val="singleLevel"/>
    <w:tmpl w:val="87C73401"/>
    <w:lvl w:ilvl="0" w:tentative="0">
      <w:start w:val="7"/>
      <w:numFmt w:val="chineseCounting"/>
      <w:suff w:val="nothing"/>
      <w:lvlText w:val="%1、"/>
      <w:lvlJc w:val="left"/>
      <w:rPr>
        <w:rFonts w:hint="eastAsia"/>
      </w:rPr>
    </w:lvl>
  </w:abstractNum>
  <w:abstractNum w:abstractNumId="1">
    <w:nsid w:val="91612C34"/>
    <w:multiLevelType w:val="singleLevel"/>
    <w:tmpl w:val="91612C34"/>
    <w:lvl w:ilvl="0" w:tentative="0">
      <w:start w:val="1"/>
      <w:numFmt w:val="decimal"/>
      <w:suff w:val="nothing"/>
      <w:lvlText w:val="（%1）"/>
      <w:lvlJc w:val="left"/>
    </w:lvl>
  </w:abstractNum>
  <w:abstractNum w:abstractNumId="2">
    <w:nsid w:val="92D29DD4"/>
    <w:multiLevelType w:val="singleLevel"/>
    <w:tmpl w:val="92D29DD4"/>
    <w:lvl w:ilvl="0" w:tentative="0">
      <w:start w:val="7"/>
      <w:numFmt w:val="chineseCounting"/>
      <w:suff w:val="nothing"/>
      <w:lvlText w:val="%1、"/>
      <w:lvlJc w:val="left"/>
      <w:rPr>
        <w:rFonts w:hint="eastAsia"/>
      </w:rPr>
    </w:lvl>
  </w:abstractNum>
  <w:abstractNum w:abstractNumId="3">
    <w:nsid w:val="E6FFDE81"/>
    <w:multiLevelType w:val="singleLevel"/>
    <w:tmpl w:val="E6FFDE81"/>
    <w:lvl w:ilvl="0" w:tentative="0">
      <w:start w:val="1"/>
      <w:numFmt w:val="chineseCounting"/>
      <w:suff w:val="nothing"/>
      <w:lvlText w:val="（%1）"/>
      <w:lvlJc w:val="left"/>
      <w:pPr>
        <w:ind w:left="0" w:firstLine="420"/>
      </w:pPr>
      <w:rPr>
        <w:rFonts w:hint="eastAsia"/>
      </w:rPr>
    </w:lvl>
  </w:abstractNum>
  <w:abstractNum w:abstractNumId="4">
    <w:nsid w:val="F66D7810"/>
    <w:multiLevelType w:val="singleLevel"/>
    <w:tmpl w:val="F66D7810"/>
    <w:lvl w:ilvl="0" w:tentative="0">
      <w:start w:val="1"/>
      <w:numFmt w:val="chineseCounting"/>
      <w:suff w:val="nothing"/>
      <w:lvlText w:val="（%1）"/>
      <w:lvlJc w:val="left"/>
      <w:pPr>
        <w:ind w:left="0" w:firstLine="420"/>
      </w:pPr>
      <w:rPr>
        <w:rFonts w:hint="eastAsia"/>
      </w:rPr>
    </w:lvl>
  </w:abstractNum>
  <w:abstractNum w:abstractNumId="5">
    <w:nsid w:val="FFBEAF39"/>
    <w:multiLevelType w:val="singleLevel"/>
    <w:tmpl w:val="FFBEAF39"/>
    <w:lvl w:ilvl="0" w:tentative="0">
      <w:start w:val="1"/>
      <w:numFmt w:val="chineseCounting"/>
      <w:suff w:val="nothing"/>
      <w:lvlText w:val="（%1）"/>
      <w:lvlJc w:val="left"/>
      <w:pPr>
        <w:ind w:left="0" w:firstLine="420"/>
      </w:pPr>
      <w:rPr>
        <w:rFonts w:hint="eastAsia"/>
      </w:rPr>
    </w:lvl>
  </w:abstractNum>
  <w:abstractNum w:abstractNumId="6">
    <w:nsid w:val="01527C96"/>
    <w:multiLevelType w:val="singleLevel"/>
    <w:tmpl w:val="01527C96"/>
    <w:lvl w:ilvl="0" w:tentative="0">
      <w:start w:val="2"/>
      <w:numFmt w:val="chineseCounting"/>
      <w:suff w:val="space"/>
      <w:lvlText w:val="%1、"/>
      <w:lvlJc w:val="left"/>
      <w:rPr>
        <w:rFonts w:hint="eastAsia"/>
      </w:rPr>
    </w:lvl>
  </w:abstractNum>
  <w:abstractNum w:abstractNumId="7">
    <w:nsid w:val="1AE1CEF5"/>
    <w:multiLevelType w:val="singleLevel"/>
    <w:tmpl w:val="1AE1CEF5"/>
    <w:lvl w:ilvl="0" w:tentative="0">
      <w:start w:val="1"/>
      <w:numFmt w:val="decimal"/>
      <w:suff w:val="nothing"/>
      <w:lvlText w:val="%1．"/>
      <w:lvlJc w:val="left"/>
      <w:pPr>
        <w:ind w:left="0" w:firstLine="400"/>
      </w:pPr>
      <w:rPr>
        <w:rFonts w:hint="default"/>
      </w:rPr>
    </w:lvl>
  </w:abstractNum>
  <w:abstractNum w:abstractNumId="8">
    <w:nsid w:val="23715FB8"/>
    <w:multiLevelType w:val="singleLevel"/>
    <w:tmpl w:val="23715FB8"/>
    <w:lvl w:ilvl="0" w:tentative="0">
      <w:start w:val="1"/>
      <w:numFmt w:val="chineseCounting"/>
      <w:suff w:val="nothing"/>
      <w:lvlText w:val="（%1）"/>
      <w:lvlJc w:val="left"/>
      <w:pPr>
        <w:ind w:left="0" w:firstLine="0"/>
      </w:pPr>
    </w:lvl>
  </w:abstractNum>
  <w:abstractNum w:abstractNumId="9">
    <w:nsid w:val="2413BDA4"/>
    <w:multiLevelType w:val="singleLevel"/>
    <w:tmpl w:val="2413BDA4"/>
    <w:lvl w:ilvl="0" w:tentative="0">
      <w:start w:val="1"/>
      <w:numFmt w:val="chineseCounting"/>
      <w:suff w:val="nothing"/>
      <w:lvlText w:val="（%1）"/>
      <w:lvlJc w:val="left"/>
      <w:pPr>
        <w:ind w:left="0" w:firstLine="420"/>
      </w:pPr>
      <w:rPr>
        <w:rFonts w:hint="eastAsia"/>
      </w:rPr>
    </w:lvl>
  </w:abstractNum>
  <w:abstractNum w:abstractNumId="10">
    <w:nsid w:val="260848F1"/>
    <w:multiLevelType w:val="singleLevel"/>
    <w:tmpl w:val="260848F1"/>
    <w:lvl w:ilvl="0" w:tentative="0">
      <w:start w:val="1"/>
      <w:numFmt w:val="chineseCounting"/>
      <w:suff w:val="space"/>
      <w:lvlText w:val="第%1章"/>
      <w:lvlJc w:val="left"/>
      <w:rPr>
        <w:rFonts w:hint="eastAsia"/>
      </w:rPr>
    </w:lvl>
  </w:abstractNum>
  <w:abstractNum w:abstractNumId="11">
    <w:nsid w:val="69FC2381"/>
    <w:multiLevelType w:val="multilevel"/>
    <w:tmpl w:val="69FC2381"/>
    <w:lvl w:ilvl="0" w:tentative="0">
      <w:start w:val="1"/>
      <w:numFmt w:val="decimal"/>
      <w:lvlText w:val="%1."/>
      <w:lvlJc w:val="left"/>
      <w:pPr>
        <w:ind w:left="638" w:hanging="212"/>
      </w:pPr>
      <w:rPr>
        <w:rFonts w:hint="default" w:ascii="Times New Roman" w:hAnsi="Times New Roman" w:cs="Times New Roman"/>
        <w:spacing w:val="-2"/>
        <w:w w:val="99"/>
        <w:sz w:val="21"/>
        <w:szCs w:val="21"/>
        <w:lang w:val="zh-CN" w:eastAsia="zh-CN" w:bidi="zh-CN"/>
      </w:rPr>
    </w:lvl>
    <w:lvl w:ilvl="1" w:tentative="0">
      <w:start w:val="0"/>
      <w:numFmt w:val="bullet"/>
      <w:lvlText w:val="•"/>
      <w:lvlJc w:val="left"/>
      <w:pPr>
        <w:ind w:left="1514" w:hanging="212"/>
      </w:pPr>
      <w:rPr>
        <w:rFonts w:hint="default"/>
        <w:lang w:val="zh-CN" w:eastAsia="zh-CN" w:bidi="zh-CN"/>
      </w:rPr>
    </w:lvl>
    <w:lvl w:ilvl="2" w:tentative="0">
      <w:start w:val="0"/>
      <w:numFmt w:val="bullet"/>
      <w:lvlText w:val="•"/>
      <w:lvlJc w:val="left"/>
      <w:pPr>
        <w:ind w:left="2383" w:hanging="212"/>
      </w:pPr>
      <w:rPr>
        <w:rFonts w:hint="default"/>
        <w:lang w:val="zh-CN" w:eastAsia="zh-CN" w:bidi="zh-CN"/>
      </w:rPr>
    </w:lvl>
    <w:lvl w:ilvl="3" w:tentative="0">
      <w:start w:val="0"/>
      <w:numFmt w:val="bullet"/>
      <w:lvlText w:val="•"/>
      <w:lvlJc w:val="left"/>
      <w:pPr>
        <w:ind w:left="3252" w:hanging="212"/>
      </w:pPr>
      <w:rPr>
        <w:rFonts w:hint="default"/>
        <w:lang w:val="zh-CN" w:eastAsia="zh-CN" w:bidi="zh-CN"/>
      </w:rPr>
    </w:lvl>
    <w:lvl w:ilvl="4" w:tentative="0">
      <w:start w:val="0"/>
      <w:numFmt w:val="bullet"/>
      <w:lvlText w:val="•"/>
      <w:lvlJc w:val="left"/>
      <w:pPr>
        <w:ind w:left="4120" w:hanging="212"/>
      </w:pPr>
      <w:rPr>
        <w:rFonts w:hint="default"/>
        <w:lang w:val="zh-CN" w:eastAsia="zh-CN" w:bidi="zh-CN"/>
      </w:rPr>
    </w:lvl>
    <w:lvl w:ilvl="5" w:tentative="0">
      <w:start w:val="0"/>
      <w:numFmt w:val="bullet"/>
      <w:lvlText w:val="•"/>
      <w:lvlJc w:val="left"/>
      <w:pPr>
        <w:ind w:left="4989" w:hanging="212"/>
      </w:pPr>
      <w:rPr>
        <w:rFonts w:hint="default"/>
        <w:lang w:val="zh-CN" w:eastAsia="zh-CN" w:bidi="zh-CN"/>
      </w:rPr>
    </w:lvl>
    <w:lvl w:ilvl="6" w:tentative="0">
      <w:start w:val="0"/>
      <w:numFmt w:val="bullet"/>
      <w:lvlText w:val="•"/>
      <w:lvlJc w:val="left"/>
      <w:pPr>
        <w:ind w:left="5858" w:hanging="212"/>
      </w:pPr>
      <w:rPr>
        <w:rFonts w:hint="default"/>
        <w:lang w:val="zh-CN" w:eastAsia="zh-CN" w:bidi="zh-CN"/>
      </w:rPr>
    </w:lvl>
    <w:lvl w:ilvl="7" w:tentative="0">
      <w:start w:val="0"/>
      <w:numFmt w:val="bullet"/>
      <w:lvlText w:val="•"/>
      <w:lvlJc w:val="left"/>
      <w:pPr>
        <w:ind w:left="6726" w:hanging="212"/>
      </w:pPr>
      <w:rPr>
        <w:rFonts w:hint="default"/>
        <w:lang w:val="zh-CN" w:eastAsia="zh-CN" w:bidi="zh-CN"/>
      </w:rPr>
    </w:lvl>
    <w:lvl w:ilvl="8" w:tentative="0">
      <w:start w:val="0"/>
      <w:numFmt w:val="bullet"/>
      <w:lvlText w:val="•"/>
      <w:lvlJc w:val="left"/>
      <w:pPr>
        <w:ind w:left="7595" w:hanging="212"/>
      </w:pPr>
      <w:rPr>
        <w:rFonts w:hint="default"/>
        <w:lang w:val="zh-CN" w:eastAsia="zh-CN" w:bidi="zh-CN"/>
      </w:rPr>
    </w:lvl>
  </w:abstractNum>
  <w:abstractNum w:abstractNumId="12">
    <w:nsid w:val="71FA0254"/>
    <w:multiLevelType w:val="singleLevel"/>
    <w:tmpl w:val="71FA0254"/>
    <w:lvl w:ilvl="0" w:tentative="0">
      <w:start w:val="1"/>
      <w:numFmt w:val="chineseCounting"/>
      <w:suff w:val="nothing"/>
      <w:lvlText w:val="%1、"/>
      <w:lvlJc w:val="left"/>
      <w:rPr>
        <w:rFonts w:hint="eastAsia"/>
      </w:rPr>
    </w:lvl>
  </w:abstractNum>
  <w:abstractNum w:abstractNumId="13">
    <w:nsid w:val="7C3EF8D2"/>
    <w:multiLevelType w:val="singleLevel"/>
    <w:tmpl w:val="7C3EF8D2"/>
    <w:lvl w:ilvl="0" w:tentative="0">
      <w:start w:val="3"/>
      <w:numFmt w:val="chineseCounting"/>
      <w:suff w:val="nothing"/>
      <w:lvlText w:val="%1、"/>
      <w:lvlJc w:val="left"/>
      <w:rPr>
        <w:rFonts w:hint="eastAsia"/>
      </w:rPr>
    </w:lvl>
  </w:abstractNum>
  <w:num w:numId="1">
    <w:abstractNumId w:val="10"/>
  </w:num>
  <w:num w:numId="2">
    <w:abstractNumId w:val="1"/>
  </w:num>
  <w:num w:numId="3">
    <w:abstractNumId w:val="13"/>
  </w:num>
  <w:num w:numId="4">
    <w:abstractNumId w:val="5"/>
  </w:num>
  <w:num w:numId="5">
    <w:abstractNumId w:val="6"/>
  </w:num>
  <w:num w:numId="6">
    <w:abstractNumId w:val="3"/>
  </w:num>
  <w:num w:numId="7">
    <w:abstractNumId w:val="4"/>
  </w:num>
  <w:num w:numId="8">
    <w:abstractNumId w:val="7"/>
  </w:num>
  <w:num w:numId="9">
    <w:abstractNumId w:val="9"/>
  </w:num>
  <w:num w:numId="10">
    <w:abstractNumId w:val="0"/>
  </w:num>
  <w:num w:numId="11">
    <w:abstractNumId w:val="12"/>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TE1MTczZjU0Zjk1Y2Q1MTgyZDQ3NjAwNDZlNjUifQ=="/>
    <w:docVar w:name="KGWebUrl" w:val="http://cgoa.scgsdsj.com:20383/seeyon/officeservlet"/>
  </w:docVars>
  <w:rsids>
    <w:rsidRoot w:val="00525523"/>
    <w:rsid w:val="0005577F"/>
    <w:rsid w:val="000C162D"/>
    <w:rsid w:val="000F3359"/>
    <w:rsid w:val="000F5A44"/>
    <w:rsid w:val="00136721"/>
    <w:rsid w:val="001D4120"/>
    <w:rsid w:val="001F5133"/>
    <w:rsid w:val="002C2DFB"/>
    <w:rsid w:val="002D5DBC"/>
    <w:rsid w:val="003740B8"/>
    <w:rsid w:val="003754D4"/>
    <w:rsid w:val="003C16F5"/>
    <w:rsid w:val="003D6A53"/>
    <w:rsid w:val="00411EC4"/>
    <w:rsid w:val="00422F53"/>
    <w:rsid w:val="0046050D"/>
    <w:rsid w:val="004B6DDE"/>
    <w:rsid w:val="00525523"/>
    <w:rsid w:val="005369C5"/>
    <w:rsid w:val="00555C32"/>
    <w:rsid w:val="005E2830"/>
    <w:rsid w:val="006049F3"/>
    <w:rsid w:val="00645016"/>
    <w:rsid w:val="007B2E65"/>
    <w:rsid w:val="007C2DC1"/>
    <w:rsid w:val="007F7170"/>
    <w:rsid w:val="008D4EE8"/>
    <w:rsid w:val="00904CBE"/>
    <w:rsid w:val="009E16C0"/>
    <w:rsid w:val="00A2525D"/>
    <w:rsid w:val="00AC3743"/>
    <w:rsid w:val="00CA57B3"/>
    <w:rsid w:val="00D237DE"/>
    <w:rsid w:val="00DA6FC8"/>
    <w:rsid w:val="00E234B4"/>
    <w:rsid w:val="00E30036"/>
    <w:rsid w:val="00EE7091"/>
    <w:rsid w:val="00F51494"/>
    <w:rsid w:val="00F8086F"/>
    <w:rsid w:val="025B3E9C"/>
    <w:rsid w:val="02961E70"/>
    <w:rsid w:val="03182A76"/>
    <w:rsid w:val="04261CA2"/>
    <w:rsid w:val="04D74A35"/>
    <w:rsid w:val="052D4EEB"/>
    <w:rsid w:val="074F1149"/>
    <w:rsid w:val="07750484"/>
    <w:rsid w:val="07824CBE"/>
    <w:rsid w:val="07D433FC"/>
    <w:rsid w:val="07D5166E"/>
    <w:rsid w:val="08E92B51"/>
    <w:rsid w:val="098962B5"/>
    <w:rsid w:val="09AD7A2C"/>
    <w:rsid w:val="0A2E773B"/>
    <w:rsid w:val="0A473846"/>
    <w:rsid w:val="0AD57BB7"/>
    <w:rsid w:val="0BFD150A"/>
    <w:rsid w:val="0C3C09BC"/>
    <w:rsid w:val="0C6D2071"/>
    <w:rsid w:val="0CA041F5"/>
    <w:rsid w:val="0CD55AD2"/>
    <w:rsid w:val="0E3C0FF6"/>
    <w:rsid w:val="0E4617CA"/>
    <w:rsid w:val="0F300657"/>
    <w:rsid w:val="0F5F0397"/>
    <w:rsid w:val="0F846B80"/>
    <w:rsid w:val="0F964442"/>
    <w:rsid w:val="10715002"/>
    <w:rsid w:val="10F24FAF"/>
    <w:rsid w:val="1182036D"/>
    <w:rsid w:val="12117C8E"/>
    <w:rsid w:val="12DB4B97"/>
    <w:rsid w:val="12DE36EF"/>
    <w:rsid w:val="144759F9"/>
    <w:rsid w:val="14916DF2"/>
    <w:rsid w:val="15D14C7A"/>
    <w:rsid w:val="1654706A"/>
    <w:rsid w:val="1730785A"/>
    <w:rsid w:val="18A801B1"/>
    <w:rsid w:val="193322A1"/>
    <w:rsid w:val="199C11D9"/>
    <w:rsid w:val="19C54965"/>
    <w:rsid w:val="19C86B39"/>
    <w:rsid w:val="1B8B192C"/>
    <w:rsid w:val="1CD41B5C"/>
    <w:rsid w:val="1D7B00C3"/>
    <w:rsid w:val="1D81494F"/>
    <w:rsid w:val="1DAB2047"/>
    <w:rsid w:val="1DBF3192"/>
    <w:rsid w:val="1E087E4C"/>
    <w:rsid w:val="1E6751B2"/>
    <w:rsid w:val="1F617854"/>
    <w:rsid w:val="1FC50C5A"/>
    <w:rsid w:val="204F3B10"/>
    <w:rsid w:val="20A02C61"/>
    <w:rsid w:val="211F1734"/>
    <w:rsid w:val="215130C6"/>
    <w:rsid w:val="21A25448"/>
    <w:rsid w:val="21D40D1C"/>
    <w:rsid w:val="229558FC"/>
    <w:rsid w:val="236D2F4A"/>
    <w:rsid w:val="25BD7AAA"/>
    <w:rsid w:val="265C0C8E"/>
    <w:rsid w:val="26A07F46"/>
    <w:rsid w:val="26A512D8"/>
    <w:rsid w:val="271635D9"/>
    <w:rsid w:val="27FB2EE0"/>
    <w:rsid w:val="28072D06"/>
    <w:rsid w:val="283E2A52"/>
    <w:rsid w:val="29AB373D"/>
    <w:rsid w:val="29EA70E2"/>
    <w:rsid w:val="2AA01597"/>
    <w:rsid w:val="2AB2313C"/>
    <w:rsid w:val="2B073965"/>
    <w:rsid w:val="2BB1255B"/>
    <w:rsid w:val="2BD355F5"/>
    <w:rsid w:val="2C336309"/>
    <w:rsid w:val="2C7F577D"/>
    <w:rsid w:val="2DEA30CA"/>
    <w:rsid w:val="2E1D1C34"/>
    <w:rsid w:val="2E5E151F"/>
    <w:rsid w:val="2ED55B28"/>
    <w:rsid w:val="2EF64AF7"/>
    <w:rsid w:val="2F073385"/>
    <w:rsid w:val="2F147AA0"/>
    <w:rsid w:val="2F237725"/>
    <w:rsid w:val="303D3985"/>
    <w:rsid w:val="30CF4367"/>
    <w:rsid w:val="31AB491E"/>
    <w:rsid w:val="320032D4"/>
    <w:rsid w:val="32883F93"/>
    <w:rsid w:val="32D700C1"/>
    <w:rsid w:val="33202AA9"/>
    <w:rsid w:val="333F2B29"/>
    <w:rsid w:val="336631F3"/>
    <w:rsid w:val="341E0659"/>
    <w:rsid w:val="35564A6A"/>
    <w:rsid w:val="35AB31BF"/>
    <w:rsid w:val="35E46651"/>
    <w:rsid w:val="3605661F"/>
    <w:rsid w:val="364517E5"/>
    <w:rsid w:val="36506F9E"/>
    <w:rsid w:val="37270EEB"/>
    <w:rsid w:val="37A32B62"/>
    <w:rsid w:val="37B22045"/>
    <w:rsid w:val="37CB1876"/>
    <w:rsid w:val="38E836AE"/>
    <w:rsid w:val="39480E89"/>
    <w:rsid w:val="39493829"/>
    <w:rsid w:val="39875C71"/>
    <w:rsid w:val="39E969EB"/>
    <w:rsid w:val="39ED2C91"/>
    <w:rsid w:val="3A3C5CC1"/>
    <w:rsid w:val="3A3F7E57"/>
    <w:rsid w:val="3AA66534"/>
    <w:rsid w:val="3BBF5515"/>
    <w:rsid w:val="3BD6018C"/>
    <w:rsid w:val="3BE70B67"/>
    <w:rsid w:val="3C836BC3"/>
    <w:rsid w:val="3D0A2E41"/>
    <w:rsid w:val="3D37175C"/>
    <w:rsid w:val="3D7C0B2D"/>
    <w:rsid w:val="3DA7049A"/>
    <w:rsid w:val="3DEA7199"/>
    <w:rsid w:val="3E175815"/>
    <w:rsid w:val="3E707C55"/>
    <w:rsid w:val="3F0B5D32"/>
    <w:rsid w:val="3F685654"/>
    <w:rsid w:val="3F7E18C4"/>
    <w:rsid w:val="401043BA"/>
    <w:rsid w:val="40F24318"/>
    <w:rsid w:val="41EE1977"/>
    <w:rsid w:val="43D9126A"/>
    <w:rsid w:val="45B44380"/>
    <w:rsid w:val="45FD1795"/>
    <w:rsid w:val="471F326E"/>
    <w:rsid w:val="47242D51"/>
    <w:rsid w:val="48111527"/>
    <w:rsid w:val="48540BE2"/>
    <w:rsid w:val="48E275FD"/>
    <w:rsid w:val="498F0339"/>
    <w:rsid w:val="499F7EAB"/>
    <w:rsid w:val="49A1016C"/>
    <w:rsid w:val="49C16F7D"/>
    <w:rsid w:val="4A590D1A"/>
    <w:rsid w:val="4A69229C"/>
    <w:rsid w:val="4A6C2384"/>
    <w:rsid w:val="4AD36F68"/>
    <w:rsid w:val="4B12527D"/>
    <w:rsid w:val="4B486E56"/>
    <w:rsid w:val="4B5F41A3"/>
    <w:rsid w:val="4B9F1B4B"/>
    <w:rsid w:val="4BAD7646"/>
    <w:rsid w:val="4D14359B"/>
    <w:rsid w:val="4D245D27"/>
    <w:rsid w:val="4DEE162B"/>
    <w:rsid w:val="4E4F6905"/>
    <w:rsid w:val="4E8672B8"/>
    <w:rsid w:val="50284ED9"/>
    <w:rsid w:val="50854860"/>
    <w:rsid w:val="50CA4969"/>
    <w:rsid w:val="51510EA2"/>
    <w:rsid w:val="51D433F8"/>
    <w:rsid w:val="52720E14"/>
    <w:rsid w:val="52C963CA"/>
    <w:rsid w:val="52DD4E28"/>
    <w:rsid w:val="54AB4AB2"/>
    <w:rsid w:val="56126834"/>
    <w:rsid w:val="56AD5E8F"/>
    <w:rsid w:val="571D6958"/>
    <w:rsid w:val="574A5D0F"/>
    <w:rsid w:val="5A750CC9"/>
    <w:rsid w:val="5A81253D"/>
    <w:rsid w:val="5B104651"/>
    <w:rsid w:val="5B6A6121"/>
    <w:rsid w:val="5BCB1C7D"/>
    <w:rsid w:val="5C6C0FCA"/>
    <w:rsid w:val="5C6D7659"/>
    <w:rsid w:val="5D703060"/>
    <w:rsid w:val="5DD26EC2"/>
    <w:rsid w:val="5DD556BA"/>
    <w:rsid w:val="5DF254FF"/>
    <w:rsid w:val="5E0A0A9B"/>
    <w:rsid w:val="5E5A59C7"/>
    <w:rsid w:val="5F0047AA"/>
    <w:rsid w:val="5F506981"/>
    <w:rsid w:val="5F7E4EA6"/>
    <w:rsid w:val="5F842877"/>
    <w:rsid w:val="5FD90725"/>
    <w:rsid w:val="5FE1582B"/>
    <w:rsid w:val="61424A7B"/>
    <w:rsid w:val="615D7134"/>
    <w:rsid w:val="61774699"/>
    <w:rsid w:val="629578D3"/>
    <w:rsid w:val="62CC6E86"/>
    <w:rsid w:val="637569B7"/>
    <w:rsid w:val="639E0572"/>
    <w:rsid w:val="63C523E8"/>
    <w:rsid w:val="65257E81"/>
    <w:rsid w:val="659952AB"/>
    <w:rsid w:val="66E54BC4"/>
    <w:rsid w:val="68C50C38"/>
    <w:rsid w:val="6A1D7322"/>
    <w:rsid w:val="6AF60C84"/>
    <w:rsid w:val="6B3B620B"/>
    <w:rsid w:val="6D1479A7"/>
    <w:rsid w:val="6D257DFA"/>
    <w:rsid w:val="6D8F3247"/>
    <w:rsid w:val="6DAF0D17"/>
    <w:rsid w:val="6E331948"/>
    <w:rsid w:val="6EC36093"/>
    <w:rsid w:val="6ED7616C"/>
    <w:rsid w:val="6F443FDA"/>
    <w:rsid w:val="6F5558EE"/>
    <w:rsid w:val="712A3576"/>
    <w:rsid w:val="71996324"/>
    <w:rsid w:val="72323CC5"/>
    <w:rsid w:val="72AA3521"/>
    <w:rsid w:val="72D0689C"/>
    <w:rsid w:val="73221F8B"/>
    <w:rsid w:val="74F6547D"/>
    <w:rsid w:val="75501031"/>
    <w:rsid w:val="761B4D59"/>
    <w:rsid w:val="76831106"/>
    <w:rsid w:val="76B37ACA"/>
    <w:rsid w:val="76B92C06"/>
    <w:rsid w:val="76E54F50"/>
    <w:rsid w:val="76F47A99"/>
    <w:rsid w:val="77543DD8"/>
    <w:rsid w:val="77DB13AD"/>
    <w:rsid w:val="78BB47E9"/>
    <w:rsid w:val="79690914"/>
    <w:rsid w:val="79960BD2"/>
    <w:rsid w:val="7B193C74"/>
    <w:rsid w:val="7B5B7884"/>
    <w:rsid w:val="7BB90159"/>
    <w:rsid w:val="7BF45654"/>
    <w:rsid w:val="7C492337"/>
    <w:rsid w:val="7CFC1FCB"/>
    <w:rsid w:val="7D657644"/>
    <w:rsid w:val="7DCC08E9"/>
    <w:rsid w:val="7E78035A"/>
    <w:rsid w:val="7EA41BF5"/>
    <w:rsid w:val="7EE30FE7"/>
    <w:rsid w:val="7EE822DB"/>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4">
    <w:name w:val="heading 2"/>
    <w:basedOn w:val="1"/>
    <w:next w:val="1"/>
    <w:link w:val="18"/>
    <w:qFormat/>
    <w:uiPriority w:val="99"/>
    <w:pPr>
      <w:keepNext/>
      <w:keepLines/>
      <w:spacing w:before="260" w:after="260" w:line="416" w:lineRule="auto"/>
      <w:outlineLvl w:val="1"/>
    </w:pPr>
    <w:rPr>
      <w:rFonts w:ascii="Arial" w:hAnsi="Arial" w:eastAsia="黑体"/>
      <w:b/>
      <w:bCs/>
      <w:kern w:val="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semiHidden/>
    <w:unhideWhenUsed/>
    <w:qFormat/>
    <w:uiPriority w:val="0"/>
    <w:pPr>
      <w:spacing w:line="360" w:lineRule="auto"/>
      <w:ind w:firstLine="420" w:firstLineChars="200"/>
    </w:pPr>
    <w:rPr>
      <w:rFonts w:eastAsia="宋体"/>
      <w:sz w:val="21"/>
      <w:szCs w:val="20"/>
    </w:rPr>
  </w:style>
  <w:style w:type="paragraph" w:styleId="3">
    <w:name w:val="Body Text Indent"/>
    <w:basedOn w:val="1"/>
    <w:link w:val="26"/>
    <w:semiHidden/>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link w:val="28"/>
    <w:semiHidden/>
    <w:unhideWhenUsed/>
    <w:qFormat/>
    <w:uiPriority w:val="0"/>
    <w:pPr>
      <w:spacing w:line="440" w:lineRule="exact"/>
    </w:pPr>
    <w:rPr>
      <w:rFonts w:eastAsia="宋体"/>
      <w:sz w:val="24"/>
      <w:szCs w:val="20"/>
    </w:rPr>
  </w:style>
  <w:style w:type="paragraph" w:styleId="7">
    <w:name w:val="Plain Text"/>
    <w:basedOn w:val="1"/>
    <w:link w:val="30"/>
    <w:semiHidden/>
    <w:unhideWhenUsed/>
    <w:qFormat/>
    <w:uiPriority w:val="0"/>
    <w:pPr>
      <w:spacing w:line="360" w:lineRule="auto"/>
    </w:pPr>
    <w:rPr>
      <w:rFonts w:ascii="宋体" w:hAnsi="Courier New" w:eastAsia="宋体"/>
      <w:sz w:val="21"/>
      <w:szCs w:val="20"/>
    </w:rPr>
  </w:style>
  <w:style w:type="paragraph" w:styleId="8">
    <w:name w:val="Body Text Indent 2"/>
    <w:basedOn w:val="1"/>
    <w:link w:val="29"/>
    <w:semiHidden/>
    <w:unhideWhenUsed/>
    <w:qFormat/>
    <w:uiPriority w:val="0"/>
    <w:pPr>
      <w:spacing w:after="120" w:line="480" w:lineRule="auto"/>
      <w:ind w:left="420" w:leftChars="200"/>
    </w:pPr>
    <w:rPr>
      <w:rFonts w:eastAsia="宋体"/>
      <w:sz w:val="21"/>
      <w:szCs w:val="20"/>
    </w:rPr>
  </w:style>
  <w:style w:type="paragraph" w:styleId="9">
    <w:name w:val="Balloon Text"/>
    <w:basedOn w:val="1"/>
    <w:link w:val="19"/>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customStyle="1" w:styleId="16">
    <w:name w:val="Body Text First Indent 21"/>
    <w:basedOn w:val="17"/>
    <w:qFormat/>
    <w:uiPriority w:val="0"/>
    <w:pPr>
      <w:ind w:firstLine="420" w:firstLineChars="200"/>
    </w:pPr>
  </w:style>
  <w:style w:type="paragraph" w:customStyle="1" w:styleId="17">
    <w:name w:val="Body Text Indent1"/>
    <w:basedOn w:val="1"/>
    <w:qFormat/>
    <w:uiPriority w:val="0"/>
    <w:pPr>
      <w:ind w:firstLine="624"/>
    </w:pPr>
  </w:style>
  <w:style w:type="character" w:customStyle="1" w:styleId="18">
    <w:name w:val="标题 2 Char"/>
    <w:link w:val="4"/>
    <w:qFormat/>
    <w:uiPriority w:val="99"/>
    <w:rPr>
      <w:rFonts w:ascii="Arial" w:hAnsi="Arial" w:eastAsia="黑体" w:cs="Times New Roman"/>
      <w:b/>
      <w:bCs/>
      <w:kern w:val="0"/>
      <w:sz w:val="32"/>
      <w:szCs w:val="32"/>
    </w:rPr>
  </w:style>
  <w:style w:type="character" w:customStyle="1" w:styleId="19">
    <w:name w:val="批注框文本 Char"/>
    <w:link w:val="9"/>
    <w:semiHidden/>
    <w:qFormat/>
    <w:uiPriority w:val="99"/>
    <w:rPr>
      <w:rFonts w:ascii="Times New Roman" w:hAnsi="Times New Roman" w:eastAsia="方正仿宋简体"/>
      <w:kern w:val="2"/>
      <w:sz w:val="18"/>
      <w:szCs w:val="18"/>
    </w:rPr>
  </w:style>
  <w:style w:type="character" w:customStyle="1" w:styleId="20">
    <w:name w:val="页眉 Char"/>
    <w:link w:val="11"/>
    <w:qFormat/>
    <w:uiPriority w:val="0"/>
    <w:rPr>
      <w:rFonts w:ascii="Times New Roman" w:hAnsi="Times New Roman" w:eastAsia="方正仿宋简体" w:cs="Times New Roman"/>
      <w:sz w:val="18"/>
      <w:szCs w:val="18"/>
    </w:rPr>
  </w:style>
  <w:style w:type="character" w:customStyle="1" w:styleId="21">
    <w:name w:val="font21"/>
    <w:qFormat/>
    <w:uiPriority w:val="0"/>
    <w:rPr>
      <w:rFonts w:hint="eastAsia" w:ascii="黑体" w:hAnsi="宋体" w:eastAsia="黑体" w:cs="黑体"/>
      <w:color w:val="000000"/>
      <w:sz w:val="24"/>
      <w:szCs w:val="24"/>
      <w:u w:val="none"/>
    </w:rPr>
  </w:style>
  <w:style w:type="character" w:customStyle="1" w:styleId="22">
    <w:name w:val="font31"/>
    <w:qFormat/>
    <w:uiPriority w:val="0"/>
    <w:rPr>
      <w:rFonts w:hint="eastAsia" w:ascii="黑体" w:hAnsi="宋体" w:eastAsia="黑体" w:cs="黑体"/>
      <w:color w:val="000000"/>
      <w:sz w:val="24"/>
      <w:szCs w:val="24"/>
      <w:u w:val="none"/>
    </w:rPr>
  </w:style>
  <w:style w:type="character" w:customStyle="1" w:styleId="23">
    <w:name w:val="font11"/>
    <w:qFormat/>
    <w:uiPriority w:val="0"/>
    <w:rPr>
      <w:rFonts w:hint="eastAsia" w:ascii="仿宋_GB2312" w:eastAsia="仿宋_GB2312" w:cs="仿宋_GB2312"/>
      <w:color w:val="000000"/>
      <w:sz w:val="26"/>
      <w:szCs w:val="26"/>
      <w:u w:val="none"/>
    </w:rPr>
  </w:style>
  <w:style w:type="character" w:customStyle="1" w:styleId="24">
    <w:name w:val="font01"/>
    <w:qFormat/>
    <w:uiPriority w:val="0"/>
    <w:rPr>
      <w:rFonts w:hint="eastAsia" w:ascii="宋体" w:hAnsi="宋体" w:eastAsia="宋体" w:cs="宋体"/>
      <w:color w:val="000000"/>
      <w:sz w:val="26"/>
      <w:szCs w:val="26"/>
      <w:u w:val="none"/>
    </w:rPr>
  </w:style>
  <w:style w:type="character" w:customStyle="1" w:styleId="25">
    <w:name w:val="font41"/>
    <w:basedOn w:val="14"/>
    <w:qFormat/>
    <w:uiPriority w:val="0"/>
    <w:rPr>
      <w:rFonts w:hint="eastAsia" w:ascii="黑体" w:hAnsi="宋体" w:eastAsia="黑体" w:cs="黑体"/>
      <w:color w:val="000000"/>
      <w:sz w:val="26"/>
      <w:szCs w:val="26"/>
      <w:u w:val="none"/>
    </w:rPr>
  </w:style>
  <w:style w:type="character" w:customStyle="1" w:styleId="26">
    <w:name w:val="正文文本缩进 Char"/>
    <w:basedOn w:val="14"/>
    <w:link w:val="3"/>
    <w:semiHidden/>
    <w:qFormat/>
    <w:uiPriority w:val="99"/>
    <w:rPr>
      <w:rFonts w:eastAsia="方正仿宋简体"/>
      <w:kern w:val="2"/>
      <w:sz w:val="32"/>
      <w:szCs w:val="32"/>
    </w:rPr>
  </w:style>
  <w:style w:type="character" w:customStyle="1" w:styleId="27">
    <w:name w:val="正文首行缩进 2 Char"/>
    <w:basedOn w:val="26"/>
    <w:link w:val="2"/>
    <w:semiHidden/>
    <w:qFormat/>
    <w:uiPriority w:val="0"/>
    <w:rPr>
      <w:rFonts w:eastAsia="方正仿宋简体"/>
      <w:kern w:val="2"/>
      <w:sz w:val="21"/>
      <w:szCs w:val="32"/>
    </w:rPr>
  </w:style>
  <w:style w:type="character" w:customStyle="1" w:styleId="28">
    <w:name w:val="正文文本 Char"/>
    <w:basedOn w:val="14"/>
    <w:link w:val="6"/>
    <w:semiHidden/>
    <w:qFormat/>
    <w:uiPriority w:val="0"/>
    <w:rPr>
      <w:kern w:val="2"/>
      <w:sz w:val="24"/>
    </w:rPr>
  </w:style>
  <w:style w:type="character" w:customStyle="1" w:styleId="29">
    <w:name w:val="正文文本缩进 2 Char"/>
    <w:basedOn w:val="14"/>
    <w:link w:val="8"/>
    <w:semiHidden/>
    <w:qFormat/>
    <w:uiPriority w:val="0"/>
    <w:rPr>
      <w:kern w:val="2"/>
      <w:sz w:val="21"/>
    </w:rPr>
  </w:style>
  <w:style w:type="character" w:customStyle="1" w:styleId="30">
    <w:name w:val="纯文本 Char"/>
    <w:basedOn w:val="14"/>
    <w:link w:val="7"/>
    <w:semiHidden/>
    <w:qFormat/>
    <w:uiPriority w:val="0"/>
    <w:rPr>
      <w:rFonts w:ascii="宋体" w:hAnsi="Courier New"/>
      <w:kern w:val="2"/>
      <w:sz w:val="21"/>
    </w:rPr>
  </w:style>
  <w:style w:type="paragraph" w:styleId="31">
    <w:name w:val="List Paragraph"/>
    <w:basedOn w:val="1"/>
    <w:qFormat/>
    <w:uiPriority w:val="34"/>
    <w:pPr>
      <w:spacing w:line="360" w:lineRule="auto"/>
      <w:ind w:firstLine="420" w:firstLineChars="200"/>
    </w:pPr>
    <w:rPr>
      <w:rFonts w:eastAsia="宋体"/>
      <w:sz w:val="21"/>
      <w:szCs w:val="20"/>
    </w:rPr>
  </w:style>
  <w:style w:type="paragraph" w:customStyle="1" w:styleId="32">
    <w:name w:val="List Paragraph1"/>
    <w:basedOn w:val="1"/>
    <w:qFormat/>
    <w:uiPriority w:val="99"/>
    <w:pPr>
      <w:spacing w:line="360" w:lineRule="auto"/>
      <w:ind w:firstLine="420" w:firstLineChars="200"/>
    </w:pPr>
    <w:rPr>
      <w:rFonts w:eastAsia="宋体"/>
      <w:sz w:val="21"/>
      <w:szCs w:val="20"/>
    </w:rPr>
  </w:style>
  <w:style w:type="paragraph" w:customStyle="1" w:styleId="33">
    <w:name w:val="列出段落1"/>
    <w:basedOn w:val="1"/>
    <w:qFormat/>
    <w:uiPriority w:val="1"/>
    <w:pPr>
      <w:ind w:left="100" w:firstLine="420"/>
    </w:pPr>
  </w:style>
  <w:style w:type="character" w:customStyle="1" w:styleId="34">
    <w:name w:val="font51"/>
    <w:basedOn w:val="14"/>
    <w:qFormat/>
    <w:uiPriority w:val="0"/>
    <w:rPr>
      <w:rFonts w:ascii="仿宋_GB2312" w:eastAsia="仿宋_GB2312" w:cs="仿宋_GB2312"/>
      <w:color w:val="000000"/>
      <w:sz w:val="22"/>
      <w:szCs w:val="22"/>
      <w:u w:val="none"/>
    </w:rPr>
  </w:style>
  <w:style w:type="paragraph" w:customStyle="1" w:styleId="35">
    <w:name w:val="Table Paragraph"/>
    <w:basedOn w:val="1"/>
    <w:qFormat/>
    <w:uiPriority w:val="1"/>
    <w:pPr>
      <w:jc w:val="center"/>
    </w:pPr>
    <w:rPr>
      <w:rFonts w:ascii="仿宋" w:hAnsi="仿宋" w:eastAsia="仿宋" w:cs="仿宋"/>
      <w:lang w:val="zh-CN" w:bidi="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2324</Words>
  <Characters>13247</Characters>
  <Lines>110</Lines>
  <Paragraphs>31</Paragraphs>
  <TotalTime>26</TotalTime>
  <ScaleCrop>false</ScaleCrop>
  <LinksUpToDate>false</LinksUpToDate>
  <CharactersWithSpaces>15540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2022-03-08T12:17:00Z</dcterms:created>
  <dc:creator>李中维</dc:creator>
  <cp:lastModifiedBy>龚建瑞</cp:lastModifiedBy>
  <cp:lastPrinted>2023-10-18T02:04:00Z</cp:lastPrinted>
  <dcterms:modified xsi:type="dcterms:W3CDTF">2023-10-23T08:15:51Z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314087282B0E4E04AEC6C88A83BA116E_13</vt:lpwstr>
  </property>
</Properties>
</file>